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142" w:rsidRDefault="006E3142">
      <w:pPr>
        <w:jc w:val="both"/>
        <w:rPr>
          <w:rFonts w:ascii="Arial" w:hAnsi="Arial" w:cs="Arial"/>
          <w:b/>
          <w:sz w:val="24"/>
          <w:szCs w:val="24"/>
        </w:rPr>
      </w:pPr>
    </w:p>
    <w:p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t xml:space="preserve">FORMULÁRIO DE </w:t>
      </w:r>
      <w:r>
        <w:rPr>
          <w:rFonts w:ascii="Arial" w:hAnsi="Arial" w:cs="Arial"/>
          <w:b/>
          <w:sz w:val="28"/>
        </w:rPr>
        <w:t>COMENTÁRIOS E SUGESTÕES</w:t>
      </w:r>
    </w:p>
    <w:p w:rsidR="006E3142" w:rsidRPr="0062557C" w:rsidRDefault="006E3142" w:rsidP="00615A71">
      <w:pPr>
        <w:pStyle w:val="Caption"/>
        <w:spacing w:before="120" w:after="120" w:line="360" w:lineRule="auto"/>
        <w:jc w:val="center"/>
        <w:rPr>
          <w:rFonts w:cs="Arial"/>
        </w:rPr>
      </w:pPr>
      <w:r>
        <w:rPr>
          <w:rFonts w:cs="Arial"/>
        </w:rPr>
        <w:t>CONSULTA</w:t>
      </w:r>
      <w:r w:rsidRPr="0062557C">
        <w:rPr>
          <w:rFonts w:cs="Arial"/>
        </w:rPr>
        <w:t xml:space="preserve"> PÚBLICA Nº </w:t>
      </w:r>
      <w:r w:rsidR="00F34DFC">
        <w:rPr>
          <w:rFonts w:cs="Arial"/>
        </w:rPr>
        <w:t>09</w:t>
      </w:r>
      <w:r w:rsidRPr="0062557C">
        <w:rPr>
          <w:rFonts w:cs="Arial"/>
        </w:rPr>
        <w:t>/</w:t>
      </w:r>
      <w:r>
        <w:rPr>
          <w:rFonts w:cs="Arial"/>
        </w:rPr>
        <w:t>201</w:t>
      </w:r>
      <w:r w:rsidR="002A1E27">
        <w:rPr>
          <w:rFonts w:cs="Arial"/>
        </w:rPr>
        <w:t>7</w:t>
      </w:r>
    </w:p>
    <w:p w:rsidR="006E3142" w:rsidRDefault="006E3142" w:rsidP="00842086">
      <w:pPr>
        <w:pStyle w:val="Caption"/>
        <w:jc w:val="both"/>
        <w:rPr>
          <w:rFonts w:cs="Arial"/>
          <w:b/>
          <w:szCs w:val="24"/>
        </w:rPr>
      </w:pPr>
    </w:p>
    <w:tbl>
      <w:tblPr>
        <w:tblStyle w:val="TableGrid"/>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Look w:val="04A0" w:firstRow="1" w:lastRow="0" w:firstColumn="1" w:lastColumn="0" w:noHBand="0" w:noVBand="1"/>
      </w:tblPr>
      <w:tblGrid>
        <w:gridCol w:w="1668"/>
        <w:gridCol w:w="1559"/>
        <w:gridCol w:w="1559"/>
        <w:gridCol w:w="5387"/>
        <w:gridCol w:w="4003"/>
      </w:tblGrid>
      <w:tr w:rsidR="006166F5" w:rsidRPr="00932C2C" w:rsidTr="00D97955">
        <w:trPr>
          <w:trHeight w:val="850"/>
          <w:tblHeader/>
        </w:trPr>
        <w:tc>
          <w:tcPr>
            <w:tcW w:w="588" w:type="pct"/>
            <w:tcBorders>
              <w:bottom w:val="dashSmallGap" w:sz="4" w:space="0" w:color="BFBFBF" w:themeColor="background1" w:themeShade="BF"/>
            </w:tcBorders>
            <w:vAlign w:val="center"/>
          </w:tcPr>
          <w:p w:rsidR="006E3142" w:rsidRPr="00932C2C" w:rsidRDefault="006E3142" w:rsidP="000C0894">
            <w:pPr>
              <w:pStyle w:val="Caption"/>
              <w:jc w:val="center"/>
              <w:rPr>
                <w:rFonts w:cs="Arial"/>
                <w:b/>
                <w:color w:val="000000" w:themeColor="text1"/>
                <w:szCs w:val="24"/>
              </w:rPr>
            </w:pPr>
            <w:r w:rsidRPr="00932C2C">
              <w:rPr>
                <w:rFonts w:cs="Arial"/>
                <w:b/>
                <w:color w:val="000000" w:themeColor="text1"/>
                <w:szCs w:val="24"/>
              </w:rPr>
              <w:t>Documento</w:t>
            </w:r>
          </w:p>
        </w:tc>
        <w:tc>
          <w:tcPr>
            <w:tcW w:w="550" w:type="pct"/>
            <w:tcBorders>
              <w:bottom w:val="dashSmallGap" w:sz="4" w:space="0" w:color="BFBFBF" w:themeColor="background1" w:themeShade="BF"/>
            </w:tcBorders>
            <w:vAlign w:val="center"/>
          </w:tcPr>
          <w:p w:rsidR="006E3142" w:rsidRPr="00932C2C" w:rsidRDefault="006E3142" w:rsidP="000C0894">
            <w:pPr>
              <w:pStyle w:val="Caption"/>
              <w:jc w:val="center"/>
              <w:rPr>
                <w:rFonts w:cs="Arial"/>
                <w:b/>
                <w:color w:val="000000" w:themeColor="text1"/>
                <w:szCs w:val="24"/>
              </w:rPr>
            </w:pPr>
            <w:r w:rsidRPr="00932C2C">
              <w:rPr>
                <w:rFonts w:cs="Arial"/>
                <w:b/>
                <w:color w:val="000000" w:themeColor="text1"/>
                <w:szCs w:val="24"/>
              </w:rPr>
              <w:t>Natureza da sugestão</w:t>
            </w:r>
          </w:p>
        </w:tc>
        <w:tc>
          <w:tcPr>
            <w:tcW w:w="550" w:type="pct"/>
            <w:tcBorders>
              <w:bottom w:val="dashSmallGap" w:sz="4" w:space="0" w:color="BFBFBF" w:themeColor="background1" w:themeShade="BF"/>
            </w:tcBorders>
            <w:vAlign w:val="center"/>
          </w:tcPr>
          <w:p w:rsidR="006E3142" w:rsidRPr="00932C2C" w:rsidRDefault="006E3142" w:rsidP="00FC2A8C">
            <w:pPr>
              <w:pStyle w:val="Caption"/>
              <w:rPr>
                <w:rFonts w:cs="Arial"/>
                <w:b/>
                <w:color w:val="000000" w:themeColor="text1"/>
                <w:szCs w:val="24"/>
              </w:rPr>
            </w:pPr>
            <w:r w:rsidRPr="00932C2C">
              <w:rPr>
                <w:rFonts w:cs="Arial"/>
                <w:b/>
                <w:color w:val="000000" w:themeColor="text1"/>
                <w:szCs w:val="24"/>
              </w:rPr>
              <w:t>Item</w:t>
            </w:r>
          </w:p>
        </w:tc>
        <w:tc>
          <w:tcPr>
            <w:tcW w:w="1900" w:type="pct"/>
            <w:tcBorders>
              <w:bottom w:val="dashSmallGap" w:sz="4" w:space="0" w:color="BFBFBF" w:themeColor="background1" w:themeShade="BF"/>
            </w:tcBorders>
            <w:vAlign w:val="center"/>
          </w:tcPr>
          <w:p w:rsidR="006E3142" w:rsidRPr="00932C2C" w:rsidRDefault="006E3142" w:rsidP="006166F5">
            <w:pPr>
              <w:pStyle w:val="Caption"/>
              <w:rPr>
                <w:rFonts w:cs="Arial"/>
                <w:b/>
                <w:color w:val="000000" w:themeColor="text1"/>
                <w:szCs w:val="24"/>
              </w:rPr>
            </w:pPr>
            <w:r w:rsidRPr="00932C2C">
              <w:rPr>
                <w:rFonts w:cs="Arial"/>
                <w:b/>
                <w:color w:val="000000" w:themeColor="text1"/>
                <w:szCs w:val="24"/>
              </w:rPr>
              <w:t>Proposta de alteração</w:t>
            </w:r>
          </w:p>
        </w:tc>
        <w:tc>
          <w:tcPr>
            <w:tcW w:w="1412" w:type="pct"/>
            <w:tcBorders>
              <w:bottom w:val="dashSmallGap" w:sz="4" w:space="0" w:color="BFBFBF" w:themeColor="background1" w:themeShade="BF"/>
            </w:tcBorders>
            <w:vAlign w:val="center"/>
          </w:tcPr>
          <w:p w:rsidR="006E3142" w:rsidRPr="00932C2C" w:rsidRDefault="006E3142" w:rsidP="006166F5">
            <w:pPr>
              <w:pStyle w:val="Caption"/>
              <w:rPr>
                <w:rFonts w:cs="Arial"/>
                <w:b/>
                <w:color w:val="000000" w:themeColor="text1"/>
                <w:szCs w:val="24"/>
              </w:rPr>
            </w:pPr>
            <w:r w:rsidRPr="00932C2C">
              <w:rPr>
                <w:rFonts w:cs="Arial"/>
                <w:b/>
                <w:color w:val="000000" w:themeColor="text1"/>
                <w:szCs w:val="24"/>
              </w:rPr>
              <w:t>Justificativa</w:t>
            </w:r>
          </w:p>
        </w:tc>
      </w:tr>
      <w:tr w:rsidR="006166F5" w:rsidRPr="00932C2C" w:rsidTr="00D97955">
        <w:trPr>
          <w:trHeight w:val="2268"/>
        </w:trPr>
        <w:tc>
          <w:tcPr>
            <w:tcW w:w="588" w:type="pct"/>
            <w:vAlign w:val="center"/>
          </w:tcPr>
          <w:p w:rsidR="00FC2A8C" w:rsidRPr="000C0894" w:rsidRDefault="00FC2A8C" w:rsidP="00573457">
            <w:pPr>
              <w:pStyle w:val="Caption"/>
              <w:jc w:val="center"/>
              <w:rPr>
                <w:rFonts w:cs="Arial"/>
                <w:color w:val="000000" w:themeColor="text1"/>
                <w:szCs w:val="24"/>
              </w:rPr>
            </w:pPr>
            <w:r w:rsidRPr="00FC2A8C">
              <w:rPr>
                <w:rFonts w:cs="Arial"/>
                <w:color w:val="000000" w:themeColor="text1"/>
                <w:szCs w:val="24"/>
              </w:rPr>
              <w:t>Pré-Edit</w:t>
            </w:r>
            <w:r>
              <w:rPr>
                <w:rFonts w:cs="Arial"/>
                <w:color w:val="000000" w:themeColor="text1"/>
                <w:szCs w:val="24"/>
              </w:rPr>
              <w:t xml:space="preserve">al </w:t>
            </w:r>
          </w:p>
        </w:tc>
        <w:tc>
          <w:tcPr>
            <w:tcW w:w="550" w:type="pct"/>
            <w:vAlign w:val="center"/>
          </w:tcPr>
          <w:p w:rsidR="00FC2A8C" w:rsidRPr="000C0894" w:rsidRDefault="006166F5" w:rsidP="000C0894">
            <w:pPr>
              <w:pStyle w:val="Caption"/>
              <w:jc w:val="center"/>
              <w:rPr>
                <w:rFonts w:cs="Arial"/>
                <w:color w:val="000000" w:themeColor="text1"/>
                <w:szCs w:val="24"/>
              </w:rPr>
            </w:pPr>
            <w:r>
              <w:rPr>
                <w:rFonts w:cs="Arial"/>
                <w:color w:val="000000" w:themeColor="text1"/>
                <w:szCs w:val="24"/>
              </w:rPr>
              <w:t>Alteração</w:t>
            </w:r>
          </w:p>
        </w:tc>
        <w:tc>
          <w:tcPr>
            <w:tcW w:w="550" w:type="pct"/>
            <w:vAlign w:val="center"/>
          </w:tcPr>
          <w:p w:rsidR="00FC2A8C" w:rsidRDefault="00FC2A8C" w:rsidP="00FC2A8C">
            <w:pPr>
              <w:pStyle w:val="Caption"/>
              <w:rPr>
                <w:rFonts w:cs="Arial"/>
                <w:color w:val="000000" w:themeColor="text1"/>
                <w:szCs w:val="24"/>
              </w:rPr>
            </w:pPr>
            <w:r w:rsidRPr="00FC2A8C">
              <w:rPr>
                <w:rFonts w:cs="Arial"/>
                <w:color w:val="000000" w:themeColor="text1"/>
                <w:szCs w:val="24"/>
              </w:rPr>
              <w:t xml:space="preserve">ANEXO XIV - </w:t>
            </w:r>
            <w:r>
              <w:rPr>
                <w:rFonts w:cs="Arial"/>
                <w:color w:val="000000" w:themeColor="text1"/>
                <w:szCs w:val="24"/>
              </w:rPr>
              <w:t xml:space="preserve">item </w:t>
            </w:r>
            <w:r w:rsidR="00390D59">
              <w:rPr>
                <w:rFonts w:cs="Arial"/>
                <w:color w:val="000000" w:themeColor="text1"/>
                <w:szCs w:val="24"/>
              </w:rPr>
              <w:t>m</w:t>
            </w:r>
            <w:r w:rsidRPr="00FC2A8C">
              <w:rPr>
                <w:rFonts w:cs="Arial"/>
                <w:color w:val="000000" w:themeColor="text1"/>
                <w:szCs w:val="24"/>
              </w:rPr>
              <w:t xml:space="preserve"> </w:t>
            </w:r>
          </w:p>
          <w:p w:rsidR="00FC2A8C" w:rsidRDefault="00FC2A8C" w:rsidP="00FC2A8C">
            <w:pPr>
              <w:pStyle w:val="Caption"/>
              <w:rPr>
                <w:rFonts w:cs="Arial"/>
                <w:color w:val="000000" w:themeColor="text1"/>
                <w:szCs w:val="24"/>
              </w:rPr>
            </w:pPr>
          </w:p>
          <w:p w:rsidR="00FC2A8C" w:rsidRPr="000C0894" w:rsidRDefault="00FC2A8C" w:rsidP="00FC2A8C">
            <w:pPr>
              <w:pStyle w:val="Caption"/>
              <w:rPr>
                <w:rFonts w:cs="Arial"/>
                <w:color w:val="000000" w:themeColor="text1"/>
                <w:szCs w:val="24"/>
              </w:rPr>
            </w:pPr>
          </w:p>
        </w:tc>
        <w:tc>
          <w:tcPr>
            <w:tcW w:w="1900" w:type="pct"/>
            <w:vAlign w:val="center"/>
          </w:tcPr>
          <w:p w:rsidR="00FC2A8C" w:rsidRDefault="00FC2A8C" w:rsidP="00F10801">
            <w:pPr>
              <w:pStyle w:val="Caption"/>
              <w:rPr>
                <w:rFonts w:cs="Arial"/>
                <w:szCs w:val="24"/>
              </w:rPr>
            </w:pPr>
            <w:r w:rsidRPr="00DC27FA">
              <w:rPr>
                <w:rFonts w:cs="Arial"/>
                <w:szCs w:val="24"/>
              </w:rPr>
              <w:t xml:space="preserve">Os levantamentos geoquímicos devem analisar, pelo menos, teor de hidrocarbonetos livres, detalhando tipo e concentração de gases e líquidos quando detectados. Os mesmos deverão seguir malha e intervalo máximo de coleta de 500m para blocos com áreas de até 1.000km² e, intervalo máximo de coleta de 1.000m para blocos com área superior a </w:t>
            </w:r>
            <w:r w:rsidR="006166F5" w:rsidRPr="00DC27FA">
              <w:rPr>
                <w:rFonts w:cs="Arial"/>
                <w:szCs w:val="24"/>
              </w:rPr>
              <w:t xml:space="preserve">1.000km², para blocos onshore e offshore. </w:t>
            </w:r>
            <w:r w:rsidRPr="00DC27FA">
              <w:rPr>
                <w:rFonts w:cs="Arial"/>
                <w:szCs w:val="24"/>
              </w:rPr>
              <w:t xml:space="preserve">Para as Bacias Maduras serão atribuídos, no máximo, 20 UTs por bloco; para Bacias Terrestres de Nova Fronteira serão atribuídos, no máximo, 235 UTs por bloco. Para os levantamentos geoquímicos marítimos, por meio de aquisição de amostras, para os setores de águas rasas serão atribuídos, no máximo, </w:t>
            </w:r>
            <w:r w:rsidRPr="00DC27FA">
              <w:rPr>
                <w:rFonts w:cs="Arial"/>
                <w:szCs w:val="24"/>
              </w:rPr>
              <w:lastRenderedPageBreak/>
              <w:t xml:space="preserve">140 UTs por bloco exploratório, enquanto que nos setores de águas profundas serão atribuídos, no máximo, 265 UTs por bloco. No caso de necessidade de mudança da malha e intervalo de amostragem, como, por exemplo, </w:t>
            </w:r>
            <w:r w:rsidR="006166F5" w:rsidRPr="00DC27FA">
              <w:rPr>
                <w:rFonts w:cs="Arial"/>
                <w:szCs w:val="24"/>
              </w:rPr>
              <w:t xml:space="preserve">para </w:t>
            </w:r>
            <w:r w:rsidRPr="00DC27FA">
              <w:rPr>
                <w:rFonts w:cs="Arial"/>
                <w:szCs w:val="24"/>
              </w:rPr>
              <w:t>otimização do plano de amostra</w:t>
            </w:r>
            <w:r w:rsidR="006166F5" w:rsidRPr="00DC27FA">
              <w:rPr>
                <w:rFonts w:cs="Arial"/>
                <w:szCs w:val="24"/>
              </w:rPr>
              <w:t>gem</w:t>
            </w:r>
            <w:r w:rsidRPr="00DC27FA">
              <w:rPr>
                <w:rFonts w:cs="Arial"/>
                <w:szCs w:val="24"/>
              </w:rPr>
              <w:t xml:space="preserve"> em campos offshore como parte do estudo de exsudações com aquisição de </w:t>
            </w:r>
            <w:r w:rsidR="00F10801" w:rsidRPr="00DC27FA">
              <w:rPr>
                <w:rFonts w:cs="Arial"/>
                <w:szCs w:val="24"/>
              </w:rPr>
              <w:t xml:space="preserve">batimetria </w:t>
            </w:r>
            <w:r w:rsidRPr="00DC27FA">
              <w:rPr>
                <w:rFonts w:cs="Arial"/>
                <w:szCs w:val="24"/>
              </w:rPr>
              <w:t>multifeixe, ou impossibilidade de amostragem em áreas urbanas, lagos, rios, etc para campos onshore, o concessionário deverá enviar justificativa técnica para análise e aprovação da ANP.</w:t>
            </w:r>
          </w:p>
          <w:p w:rsidR="00A841AD" w:rsidRPr="00A841AD" w:rsidRDefault="00A841AD" w:rsidP="00A841AD"/>
        </w:tc>
        <w:tc>
          <w:tcPr>
            <w:tcW w:w="1412" w:type="pct"/>
            <w:vAlign w:val="center"/>
          </w:tcPr>
          <w:p w:rsidR="0053384B" w:rsidRPr="00DC27FA" w:rsidRDefault="0053384B" w:rsidP="006166F5">
            <w:pPr>
              <w:pStyle w:val="Caption"/>
              <w:rPr>
                <w:rFonts w:cs="Arial"/>
                <w:szCs w:val="24"/>
              </w:rPr>
            </w:pPr>
            <w:r w:rsidRPr="00DC27FA">
              <w:rPr>
                <w:rFonts w:cs="Arial"/>
                <w:szCs w:val="24"/>
              </w:rPr>
              <w:lastRenderedPageBreak/>
              <w:t xml:space="preserve">Fornecer exemplos práticos </w:t>
            </w:r>
            <w:r w:rsidR="00FC2A8C" w:rsidRPr="00DC27FA">
              <w:rPr>
                <w:rFonts w:cs="Arial"/>
                <w:szCs w:val="24"/>
              </w:rPr>
              <w:t xml:space="preserve">para a concessionária e para as empresas prestadoras desse tipo de serviços </w:t>
            </w:r>
            <w:r w:rsidRPr="00DC27FA">
              <w:rPr>
                <w:rFonts w:cs="Arial"/>
                <w:szCs w:val="24"/>
              </w:rPr>
              <w:t xml:space="preserve">que </w:t>
            </w:r>
            <w:r w:rsidR="00F57E3A" w:rsidRPr="00DC27FA">
              <w:rPr>
                <w:rFonts w:cs="Arial"/>
                <w:szCs w:val="24"/>
              </w:rPr>
              <w:t>indiquem</w:t>
            </w:r>
            <w:r w:rsidRPr="00DC27FA">
              <w:rPr>
                <w:rFonts w:cs="Arial"/>
                <w:szCs w:val="24"/>
              </w:rPr>
              <w:t xml:space="preserve"> a aprovação da solicitação de mudança dos intervalos das malhas pelo corpo técnico da ANP.</w:t>
            </w:r>
          </w:p>
          <w:p w:rsidR="00FC2A8C" w:rsidRPr="00DC27FA" w:rsidRDefault="00FC2A8C" w:rsidP="006166F5">
            <w:pPr>
              <w:pStyle w:val="Caption"/>
              <w:rPr>
                <w:rFonts w:cs="Arial"/>
                <w:szCs w:val="24"/>
              </w:rPr>
            </w:pPr>
          </w:p>
        </w:tc>
      </w:tr>
      <w:tr w:rsidR="00095D0E" w:rsidRPr="00932C2C" w:rsidTr="00D97955">
        <w:trPr>
          <w:trHeight w:val="825"/>
        </w:trPr>
        <w:tc>
          <w:tcPr>
            <w:tcW w:w="588" w:type="pct"/>
            <w:vAlign w:val="center"/>
          </w:tcPr>
          <w:p w:rsidR="00095D0E" w:rsidRPr="000C0894" w:rsidRDefault="00095D0E" w:rsidP="00F57E3A">
            <w:pPr>
              <w:pStyle w:val="Caption"/>
              <w:rPr>
                <w:rFonts w:cs="Arial"/>
                <w:color w:val="000000" w:themeColor="text1"/>
                <w:szCs w:val="24"/>
              </w:rPr>
            </w:pPr>
            <w:r w:rsidRPr="00FC2A8C">
              <w:rPr>
                <w:rFonts w:cs="Arial"/>
                <w:color w:val="000000" w:themeColor="text1"/>
                <w:szCs w:val="24"/>
              </w:rPr>
              <w:lastRenderedPageBreak/>
              <w:t>Pré-Edit</w:t>
            </w:r>
            <w:r>
              <w:rPr>
                <w:rFonts w:cs="Arial"/>
                <w:color w:val="000000" w:themeColor="text1"/>
                <w:szCs w:val="24"/>
              </w:rPr>
              <w:t xml:space="preserve">al </w:t>
            </w:r>
          </w:p>
        </w:tc>
        <w:tc>
          <w:tcPr>
            <w:tcW w:w="550" w:type="pct"/>
            <w:vAlign w:val="center"/>
          </w:tcPr>
          <w:p w:rsidR="00095D0E" w:rsidRPr="000C0894" w:rsidRDefault="00095D0E" w:rsidP="00F57E3A">
            <w:pPr>
              <w:pStyle w:val="Caption"/>
              <w:rPr>
                <w:rFonts w:cs="Arial"/>
                <w:color w:val="000000" w:themeColor="text1"/>
                <w:szCs w:val="24"/>
              </w:rPr>
            </w:pPr>
            <w:r>
              <w:rPr>
                <w:rFonts w:cs="Arial"/>
                <w:color w:val="000000" w:themeColor="text1"/>
                <w:szCs w:val="24"/>
              </w:rPr>
              <w:t>Inclusão</w:t>
            </w:r>
          </w:p>
        </w:tc>
        <w:tc>
          <w:tcPr>
            <w:tcW w:w="550" w:type="pct"/>
            <w:vAlign w:val="center"/>
          </w:tcPr>
          <w:p w:rsidR="00095D0E" w:rsidRDefault="00095D0E" w:rsidP="00F57E3A">
            <w:pPr>
              <w:pStyle w:val="Caption"/>
              <w:rPr>
                <w:rFonts w:cs="Arial"/>
                <w:color w:val="000000" w:themeColor="text1"/>
                <w:szCs w:val="24"/>
              </w:rPr>
            </w:pPr>
            <w:r w:rsidRPr="00FC2A8C">
              <w:rPr>
                <w:rFonts w:cs="Arial"/>
                <w:color w:val="000000" w:themeColor="text1"/>
                <w:szCs w:val="24"/>
              </w:rPr>
              <w:t xml:space="preserve">ANEXO XIV - </w:t>
            </w:r>
            <w:r>
              <w:rPr>
                <w:rFonts w:cs="Arial"/>
                <w:color w:val="000000" w:themeColor="text1"/>
                <w:szCs w:val="24"/>
              </w:rPr>
              <w:t>item n</w:t>
            </w:r>
            <w:r w:rsidRPr="00FC2A8C">
              <w:rPr>
                <w:rFonts w:cs="Arial"/>
                <w:color w:val="000000" w:themeColor="text1"/>
                <w:szCs w:val="24"/>
              </w:rPr>
              <w:t xml:space="preserve"> </w:t>
            </w:r>
          </w:p>
          <w:p w:rsidR="00095D0E" w:rsidRDefault="00095D0E" w:rsidP="00F57E3A">
            <w:pPr>
              <w:pStyle w:val="Caption"/>
              <w:rPr>
                <w:rFonts w:cs="Arial"/>
                <w:color w:val="000000" w:themeColor="text1"/>
                <w:szCs w:val="24"/>
              </w:rPr>
            </w:pPr>
          </w:p>
          <w:p w:rsidR="00095D0E" w:rsidRPr="000C0894" w:rsidRDefault="00095D0E" w:rsidP="00F57E3A">
            <w:pPr>
              <w:pStyle w:val="Caption"/>
              <w:rPr>
                <w:rFonts w:cs="Arial"/>
                <w:color w:val="000000" w:themeColor="text1"/>
                <w:szCs w:val="24"/>
              </w:rPr>
            </w:pPr>
          </w:p>
        </w:tc>
        <w:tc>
          <w:tcPr>
            <w:tcW w:w="1900" w:type="pct"/>
            <w:vAlign w:val="center"/>
          </w:tcPr>
          <w:p w:rsidR="00095D0E" w:rsidRPr="00D97955" w:rsidRDefault="00864BAE" w:rsidP="00F57E3A">
            <w:pPr>
              <w:pStyle w:val="Caption"/>
              <w:rPr>
                <w:rFonts w:cs="Arial"/>
                <w:color w:val="000000" w:themeColor="text1"/>
                <w:szCs w:val="24"/>
              </w:rPr>
            </w:pPr>
            <w:r>
              <w:rPr>
                <w:rFonts w:cs="Arial"/>
                <w:color w:val="000000" w:themeColor="text1"/>
                <w:szCs w:val="24"/>
              </w:rPr>
              <w:t xml:space="preserve">A aquisição de batimetria </w:t>
            </w:r>
            <w:r w:rsidR="00107C51">
              <w:rPr>
                <w:rFonts w:cs="Arial"/>
                <w:color w:val="000000" w:themeColor="text1"/>
                <w:szCs w:val="24"/>
              </w:rPr>
              <w:t xml:space="preserve">offshore </w:t>
            </w:r>
            <w:r>
              <w:rPr>
                <w:rFonts w:cs="Arial"/>
                <w:color w:val="000000" w:themeColor="text1"/>
                <w:szCs w:val="24"/>
              </w:rPr>
              <w:t xml:space="preserve">com ecobatímetro </w:t>
            </w:r>
            <w:r w:rsidR="00095D0E">
              <w:rPr>
                <w:rFonts w:cs="Arial"/>
                <w:color w:val="000000" w:themeColor="text1"/>
                <w:szCs w:val="24"/>
              </w:rPr>
              <w:t xml:space="preserve">multifeixe (MBES) </w:t>
            </w:r>
            <w:r w:rsidR="00095D0E" w:rsidRPr="00FC2A8C">
              <w:rPr>
                <w:rFonts w:cs="Arial"/>
                <w:color w:val="000000" w:themeColor="text1"/>
                <w:szCs w:val="24"/>
              </w:rPr>
              <w:t xml:space="preserve">devem </w:t>
            </w:r>
            <w:r w:rsidR="00095D0E">
              <w:rPr>
                <w:rFonts w:cs="Arial"/>
                <w:color w:val="000000" w:themeColor="text1"/>
                <w:szCs w:val="24"/>
              </w:rPr>
              <w:t>possibilitar uma</w:t>
            </w:r>
            <w:r w:rsidR="00095D0E" w:rsidRPr="00EC52D8">
              <w:rPr>
                <w:rFonts w:cs="Arial"/>
                <w:color w:val="000000" w:themeColor="text1"/>
                <w:szCs w:val="24"/>
              </w:rPr>
              <w:t xml:space="preserve"> definição detalhada das profundidades da área</w:t>
            </w:r>
            <w:r w:rsidR="00095D0E">
              <w:rPr>
                <w:rFonts w:cs="Arial"/>
                <w:color w:val="000000" w:themeColor="text1"/>
                <w:szCs w:val="24"/>
              </w:rPr>
              <w:t xml:space="preserve"> e a análise da </w:t>
            </w:r>
            <w:r w:rsidR="00095D0E" w:rsidRPr="00EC52D8">
              <w:rPr>
                <w:rFonts w:cs="Arial"/>
                <w:color w:val="000000" w:themeColor="text1"/>
                <w:szCs w:val="24"/>
              </w:rPr>
              <w:t>intensidade de retorno do sinal acústico</w:t>
            </w:r>
            <w:r w:rsidR="00095D0E">
              <w:rPr>
                <w:rFonts w:cs="Arial"/>
                <w:color w:val="000000" w:themeColor="text1"/>
                <w:szCs w:val="24"/>
              </w:rPr>
              <w:t xml:space="preserve"> </w:t>
            </w:r>
            <w:r w:rsidR="00F10801">
              <w:rPr>
                <w:rFonts w:cs="Arial"/>
                <w:color w:val="000000" w:themeColor="text1"/>
                <w:szCs w:val="24"/>
              </w:rPr>
              <w:t xml:space="preserve">(“backscatter”). </w:t>
            </w:r>
            <w:r w:rsidR="00095D0E">
              <w:rPr>
                <w:rFonts w:cs="Arial"/>
                <w:color w:val="000000" w:themeColor="text1"/>
                <w:szCs w:val="24"/>
              </w:rPr>
              <w:t xml:space="preserve">Esses levantamentos </w:t>
            </w:r>
            <w:r w:rsidR="00095D0E" w:rsidRPr="007C2A2E">
              <w:rPr>
                <w:rFonts w:cs="Arial"/>
                <w:color w:val="000000" w:themeColor="text1"/>
                <w:szCs w:val="24"/>
              </w:rPr>
              <w:t xml:space="preserve">deverão ser realizados com uma frequência </w:t>
            </w:r>
            <w:r w:rsidR="00F10801">
              <w:rPr>
                <w:rFonts w:cs="Arial"/>
                <w:color w:val="000000" w:themeColor="text1"/>
                <w:szCs w:val="24"/>
              </w:rPr>
              <w:t xml:space="preserve">preferencialmente </w:t>
            </w:r>
            <w:r w:rsidR="00095D0E" w:rsidRPr="007C2A2E">
              <w:rPr>
                <w:rFonts w:cs="Arial"/>
                <w:color w:val="000000" w:themeColor="text1"/>
                <w:szCs w:val="24"/>
              </w:rPr>
              <w:t>entre 12 a 500 kHz, dependendo das características do equipamento e da faixa de profundidade.</w:t>
            </w:r>
          </w:p>
          <w:p w:rsidR="00095D0E" w:rsidRDefault="00095D0E" w:rsidP="00F57E3A">
            <w:pPr>
              <w:pStyle w:val="Caption"/>
              <w:rPr>
                <w:rFonts w:cs="Arial"/>
                <w:color w:val="000000" w:themeColor="text1"/>
                <w:szCs w:val="24"/>
              </w:rPr>
            </w:pPr>
            <w:r>
              <w:rPr>
                <w:rFonts w:cs="Arial"/>
                <w:color w:val="000000" w:themeColor="text1"/>
                <w:szCs w:val="24"/>
              </w:rPr>
              <w:t xml:space="preserve">O plano de linhas de aquisição deve garantir </w:t>
            </w:r>
            <w:r w:rsidR="00F10801">
              <w:rPr>
                <w:rFonts w:cs="Arial"/>
                <w:color w:val="000000" w:themeColor="text1"/>
                <w:szCs w:val="24"/>
              </w:rPr>
              <w:t>um</w:t>
            </w:r>
            <w:r>
              <w:rPr>
                <w:rFonts w:cs="Arial"/>
                <w:color w:val="000000" w:themeColor="text1"/>
                <w:szCs w:val="24"/>
              </w:rPr>
              <w:t xml:space="preserve"> espaçamento</w:t>
            </w:r>
            <w:r w:rsidRPr="00EC52D8">
              <w:rPr>
                <w:rFonts w:cs="Arial"/>
                <w:color w:val="000000" w:themeColor="text1"/>
                <w:szCs w:val="24"/>
              </w:rPr>
              <w:t xml:space="preserve"> </w:t>
            </w:r>
            <w:r>
              <w:rPr>
                <w:rFonts w:cs="Arial"/>
                <w:color w:val="000000" w:themeColor="text1"/>
                <w:szCs w:val="24"/>
              </w:rPr>
              <w:t xml:space="preserve">máximo </w:t>
            </w:r>
            <w:r w:rsidRPr="00EC52D8">
              <w:rPr>
                <w:rFonts w:cs="Arial"/>
                <w:color w:val="000000" w:themeColor="text1"/>
                <w:szCs w:val="24"/>
              </w:rPr>
              <w:t xml:space="preserve">entre linhas </w:t>
            </w:r>
            <w:r>
              <w:rPr>
                <w:rFonts w:cs="Arial"/>
                <w:color w:val="000000" w:themeColor="text1"/>
                <w:szCs w:val="24"/>
              </w:rPr>
              <w:t xml:space="preserve">principais </w:t>
            </w:r>
            <w:r w:rsidRPr="00EC52D8">
              <w:rPr>
                <w:rFonts w:cs="Arial"/>
                <w:color w:val="000000" w:themeColor="text1"/>
                <w:szCs w:val="24"/>
              </w:rPr>
              <w:t>adjacentes</w:t>
            </w:r>
            <w:r>
              <w:rPr>
                <w:rFonts w:cs="Arial"/>
                <w:color w:val="000000" w:themeColor="text1"/>
                <w:szCs w:val="24"/>
              </w:rPr>
              <w:t xml:space="preserve"> de 3 vezes a lâmina d’água, e espaçamento máximo entre linhas de controle transversais de 15 vezes o definido para as linhas principais, respeitando-se a quantidade mínima de 3 linhas transversais de controle.</w:t>
            </w:r>
          </w:p>
          <w:p w:rsidR="00095D0E" w:rsidRDefault="00095D0E" w:rsidP="00F57E3A">
            <w:pPr>
              <w:pStyle w:val="Caption"/>
              <w:rPr>
                <w:rFonts w:cs="Arial"/>
                <w:color w:val="000000" w:themeColor="text1"/>
                <w:szCs w:val="24"/>
              </w:rPr>
            </w:pPr>
          </w:p>
          <w:p w:rsidR="00095D0E" w:rsidRPr="000C0894" w:rsidRDefault="00095D0E" w:rsidP="00F10801">
            <w:pPr>
              <w:pStyle w:val="Caption"/>
              <w:rPr>
                <w:rFonts w:cs="Arial"/>
                <w:color w:val="000000" w:themeColor="text1"/>
                <w:szCs w:val="24"/>
              </w:rPr>
            </w:pPr>
            <w:r>
              <w:rPr>
                <w:rFonts w:cs="Arial"/>
                <w:color w:val="000000" w:themeColor="text1"/>
                <w:szCs w:val="24"/>
              </w:rPr>
              <w:t>Para os</w:t>
            </w:r>
            <w:r w:rsidRPr="00FC2A8C">
              <w:rPr>
                <w:rFonts w:cs="Arial"/>
                <w:color w:val="000000" w:themeColor="text1"/>
                <w:szCs w:val="24"/>
              </w:rPr>
              <w:t xml:space="preserve"> setores de águas rasas serão atribuídos, no máximo</w:t>
            </w:r>
            <w:r w:rsidR="00366BF4">
              <w:rPr>
                <w:rFonts w:cs="Arial"/>
                <w:color w:val="000000" w:themeColor="text1"/>
                <w:szCs w:val="24"/>
              </w:rPr>
              <w:t xml:space="preserve">, 45 </w:t>
            </w:r>
            <w:r w:rsidRPr="00FC2A8C">
              <w:rPr>
                <w:rFonts w:cs="Arial"/>
                <w:color w:val="000000" w:themeColor="text1"/>
                <w:szCs w:val="24"/>
              </w:rPr>
              <w:t>UTs por</w:t>
            </w:r>
            <w:r>
              <w:rPr>
                <w:rFonts w:cs="Arial"/>
                <w:color w:val="000000" w:themeColor="text1"/>
                <w:szCs w:val="24"/>
              </w:rPr>
              <w:t xml:space="preserve"> </w:t>
            </w:r>
            <w:r w:rsidRPr="00FC2A8C">
              <w:rPr>
                <w:rFonts w:cs="Arial"/>
                <w:color w:val="000000" w:themeColor="text1"/>
                <w:szCs w:val="24"/>
              </w:rPr>
              <w:t>bloco exploratório, enquanto que nos setores de águas profundas serão atribuídos, no</w:t>
            </w:r>
            <w:r>
              <w:rPr>
                <w:rFonts w:cs="Arial"/>
                <w:color w:val="000000" w:themeColor="text1"/>
                <w:szCs w:val="24"/>
              </w:rPr>
              <w:t xml:space="preserve"> </w:t>
            </w:r>
            <w:r w:rsidRPr="00FC2A8C">
              <w:rPr>
                <w:rFonts w:cs="Arial"/>
                <w:color w:val="000000" w:themeColor="text1"/>
                <w:szCs w:val="24"/>
              </w:rPr>
              <w:t>máximo</w:t>
            </w:r>
            <w:r w:rsidR="00366BF4">
              <w:rPr>
                <w:rFonts w:cs="Arial"/>
                <w:color w:val="000000" w:themeColor="text1"/>
                <w:szCs w:val="24"/>
              </w:rPr>
              <w:t>, 375</w:t>
            </w:r>
            <w:r w:rsidRPr="00FC2A8C">
              <w:rPr>
                <w:rFonts w:cs="Arial"/>
                <w:color w:val="000000" w:themeColor="text1"/>
                <w:szCs w:val="24"/>
              </w:rPr>
              <w:t xml:space="preserve"> UTs por bloco. </w:t>
            </w:r>
            <w:bookmarkStart w:id="0" w:name="_GoBack"/>
            <w:bookmarkEnd w:id="0"/>
            <w:r w:rsidRPr="00FC2A8C">
              <w:rPr>
                <w:rFonts w:cs="Arial"/>
                <w:color w:val="000000" w:themeColor="text1"/>
                <w:szCs w:val="24"/>
              </w:rPr>
              <w:t>No ca</w:t>
            </w:r>
            <w:r>
              <w:rPr>
                <w:rFonts w:cs="Arial"/>
                <w:color w:val="000000" w:themeColor="text1"/>
                <w:szCs w:val="24"/>
              </w:rPr>
              <w:t xml:space="preserve">so de necessidade de mudança da frequência </w:t>
            </w:r>
            <w:r w:rsidR="00F10801">
              <w:rPr>
                <w:rFonts w:cs="Arial"/>
                <w:color w:val="000000" w:themeColor="text1"/>
                <w:szCs w:val="24"/>
              </w:rPr>
              <w:t xml:space="preserve">do equipamento ou </w:t>
            </w:r>
            <w:r>
              <w:rPr>
                <w:rFonts w:cs="Arial"/>
                <w:color w:val="000000" w:themeColor="text1"/>
                <w:szCs w:val="24"/>
              </w:rPr>
              <w:t>do plano de linhas</w:t>
            </w:r>
            <w:r w:rsidRPr="00FC2A8C">
              <w:rPr>
                <w:rFonts w:cs="Arial"/>
                <w:color w:val="000000" w:themeColor="text1"/>
                <w:szCs w:val="24"/>
              </w:rPr>
              <w:t>, o concessionário deverá enviar justificativa técnica para análise e</w:t>
            </w:r>
            <w:r>
              <w:rPr>
                <w:rFonts w:cs="Arial"/>
                <w:color w:val="000000" w:themeColor="text1"/>
                <w:szCs w:val="24"/>
              </w:rPr>
              <w:t xml:space="preserve"> </w:t>
            </w:r>
            <w:r w:rsidRPr="00FC2A8C">
              <w:rPr>
                <w:rFonts w:cs="Arial"/>
                <w:color w:val="000000" w:themeColor="text1"/>
                <w:szCs w:val="24"/>
              </w:rPr>
              <w:t>aprovação da ANP.</w:t>
            </w:r>
          </w:p>
        </w:tc>
        <w:tc>
          <w:tcPr>
            <w:tcW w:w="1412" w:type="pct"/>
            <w:vAlign w:val="center"/>
          </w:tcPr>
          <w:p w:rsidR="005E0888" w:rsidRDefault="0003603F" w:rsidP="00DC27FA">
            <w:pPr>
              <w:pStyle w:val="Caption"/>
              <w:rPr>
                <w:rFonts w:cs="Arial"/>
                <w:color w:val="000000" w:themeColor="text1"/>
                <w:szCs w:val="24"/>
              </w:rPr>
            </w:pPr>
            <w:r>
              <w:rPr>
                <w:rFonts w:cs="Arial"/>
                <w:color w:val="000000" w:themeColor="text1"/>
                <w:szCs w:val="24"/>
              </w:rPr>
              <w:lastRenderedPageBreak/>
              <w:t xml:space="preserve">A aquisição batimétrica </w:t>
            </w:r>
            <w:r w:rsidR="00DC27FA" w:rsidRPr="00DC27FA">
              <w:rPr>
                <w:rFonts w:cs="Arial"/>
                <w:color w:val="000000" w:themeColor="text1"/>
                <w:szCs w:val="24"/>
              </w:rPr>
              <w:t>multifeixe</w:t>
            </w:r>
            <w:r w:rsidR="00107C51">
              <w:rPr>
                <w:rFonts w:cs="Arial"/>
                <w:color w:val="000000" w:themeColor="text1"/>
                <w:szCs w:val="24"/>
              </w:rPr>
              <w:t xml:space="preserve"> offshore</w:t>
            </w:r>
            <w:r>
              <w:rPr>
                <w:rFonts w:cs="Arial"/>
                <w:color w:val="000000" w:themeColor="text1"/>
                <w:szCs w:val="24"/>
              </w:rPr>
              <w:t xml:space="preserve"> já é uma tecnologia mundialmente consagrada nas fases de perfuração, exploração e desenvolvimento de campos de óleo e gás offshore, pela</w:t>
            </w:r>
            <w:r w:rsidR="00DC27FA" w:rsidRPr="00DC27FA">
              <w:rPr>
                <w:rFonts w:cs="Arial"/>
                <w:color w:val="000000" w:themeColor="text1"/>
                <w:szCs w:val="24"/>
              </w:rPr>
              <w:t xml:space="preserve"> sua </w:t>
            </w:r>
            <w:r>
              <w:rPr>
                <w:rFonts w:cs="Arial"/>
                <w:color w:val="000000" w:themeColor="text1"/>
                <w:szCs w:val="24"/>
              </w:rPr>
              <w:t xml:space="preserve">utilização nos </w:t>
            </w:r>
            <w:r w:rsidRPr="00DC27FA">
              <w:rPr>
                <w:rFonts w:cs="Arial"/>
                <w:color w:val="000000" w:themeColor="text1"/>
                <w:szCs w:val="24"/>
              </w:rPr>
              <w:t xml:space="preserve">estudos de </w:t>
            </w:r>
            <w:r>
              <w:rPr>
                <w:rFonts w:cs="Arial"/>
                <w:color w:val="000000" w:themeColor="text1"/>
                <w:szCs w:val="24"/>
              </w:rPr>
              <w:t xml:space="preserve">riscos associados às atividades de </w:t>
            </w:r>
            <w:r w:rsidRPr="00DC27FA">
              <w:rPr>
                <w:rFonts w:cs="Arial"/>
                <w:color w:val="000000" w:themeColor="text1"/>
                <w:szCs w:val="24"/>
              </w:rPr>
              <w:t>perfuração</w:t>
            </w:r>
            <w:r>
              <w:rPr>
                <w:rFonts w:cs="Arial"/>
                <w:color w:val="000000" w:themeColor="text1"/>
                <w:szCs w:val="24"/>
              </w:rPr>
              <w:t>,</w:t>
            </w:r>
            <w:r w:rsidR="005E0888">
              <w:rPr>
                <w:rFonts w:cs="Arial"/>
                <w:color w:val="000000" w:themeColor="text1"/>
                <w:szCs w:val="24"/>
              </w:rPr>
              <w:t xml:space="preserve"> e na definição do </w:t>
            </w:r>
            <w:r>
              <w:rPr>
                <w:rFonts w:cs="Arial"/>
                <w:color w:val="000000" w:themeColor="text1"/>
                <w:szCs w:val="24"/>
              </w:rPr>
              <w:t xml:space="preserve">projeto da </w:t>
            </w:r>
            <w:r w:rsidR="00DC27FA" w:rsidRPr="00DC27FA">
              <w:rPr>
                <w:rFonts w:cs="Arial"/>
                <w:color w:val="000000" w:themeColor="text1"/>
                <w:szCs w:val="24"/>
              </w:rPr>
              <w:t xml:space="preserve">infraestrutura </w:t>
            </w:r>
            <w:r>
              <w:rPr>
                <w:rFonts w:cs="Arial"/>
                <w:color w:val="000000" w:themeColor="text1"/>
                <w:szCs w:val="24"/>
              </w:rPr>
              <w:t>submarina</w:t>
            </w:r>
            <w:r w:rsidR="005E0888">
              <w:rPr>
                <w:rFonts w:cs="Arial"/>
                <w:color w:val="000000" w:themeColor="text1"/>
                <w:szCs w:val="24"/>
              </w:rPr>
              <w:t>.</w:t>
            </w:r>
          </w:p>
          <w:p w:rsidR="005E0888" w:rsidRDefault="005E0888" w:rsidP="00DC27FA">
            <w:pPr>
              <w:pStyle w:val="Caption"/>
              <w:rPr>
                <w:rFonts w:cs="Arial"/>
                <w:color w:val="000000" w:themeColor="text1"/>
                <w:szCs w:val="24"/>
              </w:rPr>
            </w:pPr>
          </w:p>
          <w:p w:rsidR="005E0888" w:rsidRDefault="005E0888" w:rsidP="00DC27FA">
            <w:pPr>
              <w:pStyle w:val="Caption"/>
              <w:rPr>
                <w:rFonts w:cs="Arial"/>
                <w:color w:val="000000" w:themeColor="text1"/>
                <w:szCs w:val="24"/>
              </w:rPr>
            </w:pPr>
            <w:r>
              <w:rPr>
                <w:rFonts w:cs="Arial"/>
                <w:color w:val="000000" w:themeColor="text1"/>
                <w:szCs w:val="24"/>
              </w:rPr>
              <w:t xml:space="preserve">Mais recentemente, esse tipo de mapeamento tem sido largamente utilizado na </w:t>
            </w:r>
            <w:r w:rsidR="00DC27FA" w:rsidRPr="00DC27FA">
              <w:rPr>
                <w:rFonts w:cs="Arial"/>
                <w:color w:val="000000" w:themeColor="text1"/>
                <w:szCs w:val="24"/>
              </w:rPr>
              <w:t xml:space="preserve">caracterização de áreas petrolíferas e na detecção de áreas de possíveis exsudações, </w:t>
            </w:r>
            <w:r w:rsidR="00DC27FA" w:rsidRPr="00DC27FA">
              <w:rPr>
                <w:rFonts w:cs="Arial"/>
                <w:color w:val="000000" w:themeColor="text1"/>
                <w:szCs w:val="24"/>
              </w:rPr>
              <w:lastRenderedPageBreak/>
              <w:t xml:space="preserve">atuais ou históricas, </w:t>
            </w:r>
            <w:r>
              <w:rPr>
                <w:rFonts w:cs="Arial"/>
                <w:color w:val="000000" w:themeColor="text1"/>
                <w:szCs w:val="24"/>
              </w:rPr>
              <w:t xml:space="preserve">o que, combinado com um programa de aquisição geoquímica, permite uma </w:t>
            </w:r>
            <w:r w:rsidR="00DC27FA" w:rsidRPr="00DC27FA">
              <w:rPr>
                <w:rFonts w:cs="Arial"/>
                <w:color w:val="000000" w:themeColor="text1"/>
                <w:szCs w:val="24"/>
              </w:rPr>
              <w:t xml:space="preserve">estratégia de </w:t>
            </w:r>
            <w:r>
              <w:rPr>
                <w:rFonts w:cs="Arial"/>
                <w:color w:val="000000" w:themeColor="text1"/>
                <w:szCs w:val="24"/>
              </w:rPr>
              <w:t xml:space="preserve">definição </w:t>
            </w:r>
            <w:r w:rsidR="00DC27FA" w:rsidRPr="00DC27FA">
              <w:rPr>
                <w:rFonts w:cs="Arial"/>
                <w:color w:val="000000" w:themeColor="text1"/>
                <w:szCs w:val="24"/>
              </w:rPr>
              <w:t xml:space="preserve">inteligente </w:t>
            </w:r>
            <w:r>
              <w:rPr>
                <w:rFonts w:cs="Arial"/>
                <w:color w:val="000000" w:themeColor="text1"/>
                <w:szCs w:val="24"/>
              </w:rPr>
              <w:t xml:space="preserve">da malha de amostragem, </w:t>
            </w:r>
            <w:r w:rsidR="00DC27FA" w:rsidRPr="00DC27FA">
              <w:rPr>
                <w:rFonts w:cs="Arial"/>
                <w:color w:val="000000" w:themeColor="text1"/>
                <w:szCs w:val="24"/>
              </w:rPr>
              <w:t>reduz</w:t>
            </w:r>
            <w:r>
              <w:rPr>
                <w:rFonts w:cs="Arial"/>
                <w:color w:val="000000" w:themeColor="text1"/>
                <w:szCs w:val="24"/>
              </w:rPr>
              <w:t>indo</w:t>
            </w:r>
            <w:r w:rsidR="00DC27FA" w:rsidRPr="00DC27FA">
              <w:rPr>
                <w:rFonts w:cs="Arial"/>
                <w:color w:val="000000" w:themeColor="text1"/>
                <w:szCs w:val="24"/>
              </w:rPr>
              <w:t xml:space="preserve"> o risco </w:t>
            </w:r>
            <w:r>
              <w:rPr>
                <w:rFonts w:cs="Arial"/>
                <w:color w:val="000000" w:themeColor="text1"/>
                <w:szCs w:val="24"/>
              </w:rPr>
              <w:t xml:space="preserve">durante a fase </w:t>
            </w:r>
            <w:r w:rsidR="00DC27FA" w:rsidRPr="00DC27FA">
              <w:rPr>
                <w:rFonts w:cs="Arial"/>
                <w:color w:val="000000" w:themeColor="text1"/>
                <w:szCs w:val="24"/>
              </w:rPr>
              <w:t>de exploração</w:t>
            </w:r>
            <w:r>
              <w:rPr>
                <w:rFonts w:cs="Arial"/>
                <w:color w:val="000000" w:themeColor="text1"/>
                <w:szCs w:val="24"/>
              </w:rPr>
              <w:t>, e agregando informações valiosas para a Concessionária sobre a área em estudo</w:t>
            </w:r>
            <w:r w:rsidR="00DC27FA" w:rsidRPr="00DC27FA">
              <w:rPr>
                <w:rFonts w:cs="Arial"/>
                <w:color w:val="000000" w:themeColor="text1"/>
                <w:szCs w:val="24"/>
              </w:rPr>
              <w:t xml:space="preserve">. </w:t>
            </w:r>
          </w:p>
          <w:p w:rsidR="005E0888" w:rsidRDefault="005E0888" w:rsidP="00DC27FA">
            <w:pPr>
              <w:pStyle w:val="Caption"/>
              <w:rPr>
                <w:rFonts w:cs="Arial"/>
                <w:color w:val="000000" w:themeColor="text1"/>
                <w:szCs w:val="24"/>
              </w:rPr>
            </w:pPr>
          </w:p>
          <w:p w:rsidR="005E0888" w:rsidRDefault="00DC27FA" w:rsidP="00DC27FA">
            <w:pPr>
              <w:pStyle w:val="Caption"/>
              <w:rPr>
                <w:rFonts w:cs="Arial"/>
                <w:color w:val="000000" w:themeColor="text1"/>
                <w:szCs w:val="24"/>
              </w:rPr>
            </w:pPr>
            <w:r w:rsidRPr="00DC27FA">
              <w:rPr>
                <w:rFonts w:cs="Arial"/>
                <w:color w:val="000000" w:themeColor="text1"/>
                <w:szCs w:val="24"/>
              </w:rPr>
              <w:t xml:space="preserve">Ao possibilitar a equivalência de levantamentos multifeixe em programas exploratórios, estimula-se o uso desta ferramenta logo no início do desenvolvimento do campo e por áreas maiores, criando um mapeamento base </w:t>
            </w:r>
            <w:r w:rsidR="00366BF4">
              <w:rPr>
                <w:rFonts w:cs="Arial"/>
                <w:color w:val="000000" w:themeColor="text1"/>
                <w:szCs w:val="24"/>
              </w:rPr>
              <w:t>que pode ser usado para múltiplo</w:t>
            </w:r>
            <w:r w:rsidRPr="00DC27FA">
              <w:rPr>
                <w:rFonts w:cs="Arial"/>
                <w:color w:val="000000" w:themeColor="text1"/>
                <w:szCs w:val="24"/>
              </w:rPr>
              <w:t xml:space="preserve">s </w:t>
            </w:r>
            <w:r w:rsidR="00366BF4">
              <w:rPr>
                <w:rFonts w:cs="Arial"/>
                <w:color w:val="000000" w:themeColor="text1"/>
                <w:szCs w:val="24"/>
              </w:rPr>
              <w:t xml:space="preserve">produtos e </w:t>
            </w:r>
            <w:r w:rsidRPr="00DC27FA">
              <w:rPr>
                <w:rFonts w:cs="Arial"/>
                <w:color w:val="000000" w:themeColor="text1"/>
                <w:szCs w:val="24"/>
              </w:rPr>
              <w:t>utilidades</w:t>
            </w:r>
            <w:r w:rsidR="00A31721">
              <w:rPr>
                <w:rFonts w:cs="Arial"/>
                <w:color w:val="000000" w:themeColor="text1"/>
                <w:szCs w:val="24"/>
              </w:rPr>
              <w:t>.</w:t>
            </w:r>
          </w:p>
          <w:p w:rsidR="005E0888" w:rsidRDefault="005E0888" w:rsidP="00DC27FA">
            <w:pPr>
              <w:pStyle w:val="Caption"/>
              <w:rPr>
                <w:rFonts w:cs="Arial"/>
                <w:color w:val="000000" w:themeColor="text1"/>
                <w:szCs w:val="24"/>
              </w:rPr>
            </w:pPr>
          </w:p>
          <w:p w:rsidR="00095D0E" w:rsidRDefault="005E0888" w:rsidP="00A31721">
            <w:pPr>
              <w:pStyle w:val="Caption"/>
              <w:rPr>
                <w:rFonts w:cs="Arial"/>
                <w:color w:val="000000" w:themeColor="text1"/>
                <w:szCs w:val="24"/>
              </w:rPr>
            </w:pPr>
            <w:r>
              <w:rPr>
                <w:rFonts w:cs="Arial"/>
                <w:color w:val="000000" w:themeColor="text1"/>
                <w:szCs w:val="24"/>
              </w:rPr>
              <w:t xml:space="preserve">Vide </w:t>
            </w:r>
            <w:r w:rsidR="00095D0E">
              <w:rPr>
                <w:rFonts w:cs="Arial"/>
                <w:color w:val="000000" w:themeColor="text1"/>
                <w:szCs w:val="24"/>
              </w:rPr>
              <w:t xml:space="preserve">Nota Técnica Fugro Brasil, documento </w:t>
            </w:r>
            <w:r w:rsidR="00095D0E" w:rsidRPr="00095D0E">
              <w:rPr>
                <w:rFonts w:cs="Arial"/>
                <w:color w:val="000000" w:themeColor="text1"/>
                <w:szCs w:val="24"/>
              </w:rPr>
              <w:t>NT-001/17-C</w:t>
            </w:r>
            <w:r w:rsidR="00095D0E">
              <w:rPr>
                <w:rFonts w:cs="Arial"/>
                <w:color w:val="000000" w:themeColor="text1"/>
                <w:szCs w:val="24"/>
              </w:rPr>
              <w:t>, de 1</w:t>
            </w:r>
            <w:r w:rsidR="00DC27FA">
              <w:rPr>
                <w:rFonts w:cs="Arial"/>
                <w:color w:val="000000" w:themeColor="text1"/>
                <w:szCs w:val="24"/>
              </w:rPr>
              <w:t>4</w:t>
            </w:r>
            <w:r w:rsidR="00095D0E">
              <w:rPr>
                <w:rFonts w:cs="Arial"/>
                <w:color w:val="000000" w:themeColor="text1"/>
                <w:szCs w:val="24"/>
              </w:rPr>
              <w:t xml:space="preserve"> de junho de 2017</w:t>
            </w:r>
            <w:r>
              <w:rPr>
                <w:rFonts w:cs="Arial"/>
                <w:color w:val="000000" w:themeColor="text1"/>
                <w:szCs w:val="24"/>
              </w:rPr>
              <w:t xml:space="preserve"> em Anexo</w:t>
            </w:r>
            <w:r w:rsidR="00A31721">
              <w:rPr>
                <w:rFonts w:cs="Arial"/>
                <w:color w:val="000000" w:themeColor="text1"/>
                <w:szCs w:val="24"/>
              </w:rPr>
              <w:t>.</w:t>
            </w:r>
            <w:r>
              <w:rPr>
                <w:rFonts w:cs="Arial"/>
                <w:color w:val="000000" w:themeColor="text1"/>
                <w:szCs w:val="24"/>
              </w:rPr>
              <w:t xml:space="preserve"> </w:t>
            </w:r>
          </w:p>
          <w:p w:rsidR="00A841AD" w:rsidRPr="00A841AD" w:rsidRDefault="00A841AD" w:rsidP="00A841AD"/>
        </w:tc>
      </w:tr>
      <w:tr w:rsidR="00DC27FA" w:rsidRPr="00932C2C" w:rsidTr="00D97955">
        <w:trPr>
          <w:trHeight w:val="2268"/>
        </w:trPr>
        <w:tc>
          <w:tcPr>
            <w:tcW w:w="588" w:type="pct"/>
            <w:vAlign w:val="center"/>
          </w:tcPr>
          <w:p w:rsidR="00DC27FA" w:rsidRPr="000C0894" w:rsidRDefault="00DC27FA" w:rsidP="00DF4FEE">
            <w:pPr>
              <w:pStyle w:val="Caption"/>
              <w:jc w:val="center"/>
              <w:rPr>
                <w:rFonts w:cs="Arial"/>
                <w:color w:val="000000" w:themeColor="text1"/>
                <w:szCs w:val="24"/>
              </w:rPr>
            </w:pPr>
            <w:r w:rsidRPr="00FC2A8C">
              <w:rPr>
                <w:rFonts w:cs="Arial"/>
                <w:color w:val="000000" w:themeColor="text1"/>
                <w:szCs w:val="24"/>
              </w:rPr>
              <w:lastRenderedPageBreak/>
              <w:t>Pré-Edit</w:t>
            </w:r>
            <w:r>
              <w:rPr>
                <w:rFonts w:cs="Arial"/>
                <w:color w:val="000000" w:themeColor="text1"/>
                <w:szCs w:val="24"/>
              </w:rPr>
              <w:t xml:space="preserve">al </w:t>
            </w:r>
          </w:p>
        </w:tc>
        <w:tc>
          <w:tcPr>
            <w:tcW w:w="550" w:type="pct"/>
            <w:vAlign w:val="center"/>
          </w:tcPr>
          <w:p w:rsidR="00DC27FA" w:rsidRPr="000C0894" w:rsidRDefault="00DC27FA" w:rsidP="00DF4FEE">
            <w:pPr>
              <w:pStyle w:val="Caption"/>
              <w:jc w:val="center"/>
              <w:rPr>
                <w:rFonts w:cs="Arial"/>
                <w:color w:val="000000" w:themeColor="text1"/>
                <w:szCs w:val="24"/>
              </w:rPr>
            </w:pPr>
            <w:r>
              <w:rPr>
                <w:rFonts w:cs="Arial"/>
                <w:color w:val="000000" w:themeColor="text1"/>
                <w:szCs w:val="24"/>
              </w:rPr>
              <w:t>Inclusão</w:t>
            </w:r>
          </w:p>
        </w:tc>
        <w:tc>
          <w:tcPr>
            <w:tcW w:w="550" w:type="pct"/>
            <w:vAlign w:val="center"/>
          </w:tcPr>
          <w:p w:rsidR="00DC27FA" w:rsidRDefault="00DC27FA" w:rsidP="00DF4FEE">
            <w:pPr>
              <w:pStyle w:val="Caption"/>
              <w:rPr>
                <w:rFonts w:cs="Arial"/>
                <w:color w:val="000000" w:themeColor="text1"/>
                <w:szCs w:val="24"/>
              </w:rPr>
            </w:pPr>
            <w:r w:rsidRPr="00573457">
              <w:rPr>
                <w:rFonts w:cs="Arial"/>
                <w:color w:val="000000" w:themeColor="text1"/>
                <w:szCs w:val="24"/>
              </w:rPr>
              <w:t xml:space="preserve">Tabela 23 </w:t>
            </w:r>
          </w:p>
          <w:p w:rsidR="00DC27FA" w:rsidRDefault="00DC27FA" w:rsidP="00DF4FEE">
            <w:pPr>
              <w:pStyle w:val="Caption"/>
              <w:rPr>
                <w:rFonts w:cs="Arial"/>
                <w:color w:val="000000" w:themeColor="text1"/>
                <w:szCs w:val="24"/>
              </w:rPr>
            </w:pPr>
          </w:p>
          <w:p w:rsidR="00DC27FA" w:rsidRPr="000C0894" w:rsidRDefault="00DC27FA" w:rsidP="00A841AD">
            <w:pPr>
              <w:pStyle w:val="Caption"/>
              <w:rPr>
                <w:rFonts w:cs="Arial"/>
                <w:color w:val="000000" w:themeColor="text1"/>
                <w:szCs w:val="24"/>
              </w:rPr>
            </w:pPr>
          </w:p>
        </w:tc>
        <w:tc>
          <w:tcPr>
            <w:tcW w:w="1900" w:type="pct"/>
            <w:vAlign w:val="center"/>
          </w:tcPr>
          <w:p w:rsidR="00A841AD" w:rsidRDefault="00DC27FA" w:rsidP="00DF4FEE">
            <w:pPr>
              <w:pStyle w:val="Caption"/>
              <w:rPr>
                <w:rFonts w:cs="Arial"/>
                <w:color w:val="000000" w:themeColor="text1"/>
                <w:szCs w:val="24"/>
              </w:rPr>
            </w:pPr>
            <w:r>
              <w:rPr>
                <w:rFonts w:cs="Arial"/>
                <w:color w:val="000000" w:themeColor="text1"/>
                <w:szCs w:val="24"/>
              </w:rPr>
              <w:t>Inclusão de coluna “Aquisição de Batimetria Multifeixe</w:t>
            </w:r>
            <w:r w:rsidR="00107C51">
              <w:rPr>
                <w:rFonts w:cs="Arial"/>
                <w:color w:val="000000" w:themeColor="text1"/>
                <w:szCs w:val="24"/>
              </w:rPr>
              <w:t xml:space="preserve"> Offshore</w:t>
            </w:r>
            <w:r>
              <w:rPr>
                <w:rFonts w:cs="Arial"/>
                <w:color w:val="000000" w:themeColor="text1"/>
                <w:szCs w:val="24"/>
              </w:rPr>
              <w:t>” com os valores equivalentes de UT</w:t>
            </w:r>
            <w:r w:rsidR="00107C51">
              <w:rPr>
                <w:rFonts w:cs="Arial"/>
                <w:color w:val="000000" w:themeColor="text1"/>
                <w:szCs w:val="24"/>
              </w:rPr>
              <w:t>s</w:t>
            </w:r>
            <w:r>
              <w:rPr>
                <w:rFonts w:cs="Arial"/>
                <w:color w:val="000000" w:themeColor="text1"/>
                <w:szCs w:val="24"/>
              </w:rPr>
              <w:t xml:space="preserve"> por km</w:t>
            </w:r>
            <w:r w:rsidRPr="00864BAE">
              <w:rPr>
                <w:rFonts w:cs="Arial"/>
                <w:color w:val="000000" w:themeColor="text1"/>
                <w:szCs w:val="24"/>
                <w:vertAlign w:val="superscript"/>
              </w:rPr>
              <w:t>2</w:t>
            </w:r>
            <w:r>
              <w:rPr>
                <w:rFonts w:cs="Arial"/>
                <w:color w:val="000000" w:themeColor="text1"/>
                <w:szCs w:val="24"/>
              </w:rPr>
              <w:t xml:space="preserve"> propostos </w:t>
            </w:r>
            <w:r w:rsidR="00A841AD">
              <w:rPr>
                <w:rFonts w:cs="Arial"/>
                <w:color w:val="000000" w:themeColor="text1"/>
                <w:szCs w:val="24"/>
              </w:rPr>
              <w:t>abaixo</w:t>
            </w:r>
            <w:r w:rsidR="00107C51">
              <w:rPr>
                <w:rFonts w:cs="Arial"/>
                <w:color w:val="000000" w:themeColor="text1"/>
                <w:szCs w:val="24"/>
              </w:rPr>
              <w:t>:</w:t>
            </w:r>
          </w:p>
          <w:p w:rsidR="00A841AD" w:rsidRDefault="00A841AD" w:rsidP="00DF4FEE">
            <w:pPr>
              <w:pStyle w:val="Caption"/>
              <w:rPr>
                <w:rFonts w:cs="Arial"/>
                <w:color w:val="000000" w:themeColor="text1"/>
                <w:szCs w:val="24"/>
              </w:rPr>
            </w:pPr>
          </w:p>
          <w:p w:rsidR="00A841AD" w:rsidRDefault="00A841AD" w:rsidP="00DF4FEE">
            <w:pPr>
              <w:pStyle w:val="Caption"/>
              <w:rPr>
                <w:rFonts w:cs="Arial"/>
                <w:color w:val="000000" w:themeColor="text1"/>
                <w:szCs w:val="24"/>
              </w:rPr>
            </w:pPr>
            <w:r>
              <w:rPr>
                <w:rFonts w:cs="Arial"/>
                <w:color w:val="000000" w:themeColor="text1"/>
                <w:szCs w:val="24"/>
              </w:rPr>
              <w:t>Blocos terrestres: não aplicável</w:t>
            </w:r>
          </w:p>
          <w:p w:rsidR="00107C51" w:rsidRDefault="00A841AD" w:rsidP="00DF4FEE">
            <w:pPr>
              <w:pStyle w:val="Caption"/>
              <w:rPr>
                <w:rFonts w:cs="Arial"/>
                <w:color w:val="000000" w:themeColor="text1"/>
                <w:szCs w:val="24"/>
              </w:rPr>
            </w:pPr>
            <w:r>
              <w:rPr>
                <w:rFonts w:cs="Arial"/>
                <w:color w:val="000000" w:themeColor="text1"/>
                <w:szCs w:val="24"/>
              </w:rPr>
              <w:t xml:space="preserve">Blocos marítimos </w:t>
            </w:r>
            <w:r w:rsidR="00107C51">
              <w:rPr>
                <w:rFonts w:cs="Arial"/>
                <w:color w:val="000000" w:themeColor="text1"/>
                <w:szCs w:val="24"/>
              </w:rPr>
              <w:t>&lt; 400m: 0,279</w:t>
            </w:r>
          </w:p>
          <w:p w:rsidR="00A841AD" w:rsidRPr="00A841AD" w:rsidRDefault="00107C51" w:rsidP="00107C51">
            <w:pPr>
              <w:pStyle w:val="Caption"/>
            </w:pPr>
            <w:r>
              <w:rPr>
                <w:rFonts w:cs="Arial"/>
                <w:color w:val="000000" w:themeColor="text1"/>
                <w:szCs w:val="24"/>
              </w:rPr>
              <w:t>Blocos marítimos &gt; 400m: 0,125</w:t>
            </w:r>
          </w:p>
          <w:p w:rsidR="00DC27FA" w:rsidRPr="000C0894" w:rsidRDefault="00DC27FA" w:rsidP="00DF4FEE">
            <w:pPr>
              <w:pStyle w:val="Caption"/>
              <w:rPr>
                <w:rFonts w:cs="Arial"/>
                <w:color w:val="000000" w:themeColor="text1"/>
                <w:szCs w:val="24"/>
              </w:rPr>
            </w:pPr>
          </w:p>
        </w:tc>
        <w:tc>
          <w:tcPr>
            <w:tcW w:w="1412" w:type="pct"/>
            <w:vAlign w:val="center"/>
          </w:tcPr>
          <w:p w:rsidR="00DC27FA" w:rsidRDefault="00A841AD" w:rsidP="00DF4FEE">
            <w:pPr>
              <w:pStyle w:val="Caption"/>
              <w:rPr>
                <w:rFonts w:cs="Arial"/>
                <w:color w:val="000000" w:themeColor="text1"/>
                <w:szCs w:val="24"/>
              </w:rPr>
            </w:pPr>
            <w:r>
              <w:rPr>
                <w:rFonts w:cs="Arial"/>
                <w:color w:val="000000" w:themeColor="text1"/>
                <w:szCs w:val="24"/>
              </w:rPr>
              <w:t xml:space="preserve">Vide justificativa para </w:t>
            </w:r>
            <w:r w:rsidR="00DC27FA">
              <w:rPr>
                <w:rFonts w:cs="Arial"/>
                <w:color w:val="000000" w:themeColor="text1"/>
                <w:szCs w:val="24"/>
              </w:rPr>
              <w:t>inclusão do item n) no Anexo XIV – Equivalência de Unidades de Trabalho</w:t>
            </w:r>
          </w:p>
          <w:p w:rsidR="00DC27FA" w:rsidRPr="00573457" w:rsidRDefault="00DC27FA" w:rsidP="00DF4FEE">
            <w:pPr>
              <w:pStyle w:val="Caption"/>
              <w:rPr>
                <w:rFonts w:cs="Arial"/>
                <w:color w:val="000000" w:themeColor="text1"/>
                <w:szCs w:val="24"/>
              </w:rPr>
            </w:pPr>
          </w:p>
        </w:tc>
      </w:tr>
      <w:tr w:rsidR="00A841AD" w:rsidRPr="00932C2C" w:rsidTr="00D97955">
        <w:trPr>
          <w:trHeight w:val="2268"/>
        </w:trPr>
        <w:tc>
          <w:tcPr>
            <w:tcW w:w="588" w:type="pct"/>
            <w:vAlign w:val="center"/>
          </w:tcPr>
          <w:p w:rsidR="00A841AD" w:rsidRPr="000C0894" w:rsidRDefault="00A841AD" w:rsidP="00F57E3A">
            <w:pPr>
              <w:pStyle w:val="Caption"/>
              <w:rPr>
                <w:rFonts w:cs="Arial"/>
                <w:color w:val="000000" w:themeColor="text1"/>
                <w:szCs w:val="24"/>
              </w:rPr>
            </w:pPr>
            <w:r w:rsidRPr="00FC2A8C">
              <w:rPr>
                <w:rFonts w:cs="Arial"/>
                <w:color w:val="000000" w:themeColor="text1"/>
                <w:szCs w:val="24"/>
              </w:rPr>
              <w:t>Pré-Edit</w:t>
            </w:r>
            <w:r>
              <w:rPr>
                <w:rFonts w:cs="Arial"/>
                <w:color w:val="000000" w:themeColor="text1"/>
                <w:szCs w:val="24"/>
              </w:rPr>
              <w:t xml:space="preserve">al </w:t>
            </w:r>
          </w:p>
        </w:tc>
        <w:tc>
          <w:tcPr>
            <w:tcW w:w="550" w:type="pct"/>
            <w:vAlign w:val="center"/>
          </w:tcPr>
          <w:p w:rsidR="00A841AD" w:rsidRPr="000C0894" w:rsidRDefault="00A841AD" w:rsidP="00F57E3A">
            <w:pPr>
              <w:pStyle w:val="Caption"/>
              <w:rPr>
                <w:rFonts w:cs="Arial"/>
                <w:color w:val="000000" w:themeColor="text1"/>
                <w:szCs w:val="24"/>
              </w:rPr>
            </w:pPr>
            <w:r>
              <w:rPr>
                <w:rFonts w:cs="Arial"/>
                <w:color w:val="000000" w:themeColor="text1"/>
                <w:szCs w:val="24"/>
              </w:rPr>
              <w:t>Alteração</w:t>
            </w:r>
          </w:p>
        </w:tc>
        <w:tc>
          <w:tcPr>
            <w:tcW w:w="550" w:type="pct"/>
            <w:vAlign w:val="center"/>
          </w:tcPr>
          <w:p w:rsidR="00390D59" w:rsidRPr="00FC2A8C" w:rsidRDefault="00A841AD" w:rsidP="00390D59">
            <w:pPr>
              <w:pStyle w:val="Caption"/>
              <w:rPr>
                <w:rFonts w:cs="Arial"/>
                <w:color w:val="000000" w:themeColor="text1"/>
                <w:szCs w:val="24"/>
              </w:rPr>
            </w:pPr>
            <w:r w:rsidRPr="00F848B5">
              <w:rPr>
                <w:rFonts w:cs="Arial"/>
                <w:color w:val="000000" w:themeColor="text1"/>
                <w:szCs w:val="24"/>
              </w:rPr>
              <w:t xml:space="preserve">ANEXO XIV </w:t>
            </w:r>
            <w:r w:rsidR="00390D59">
              <w:rPr>
                <w:rFonts w:cs="Arial"/>
                <w:color w:val="000000" w:themeColor="text1"/>
                <w:szCs w:val="24"/>
              </w:rPr>
              <w:t>– item a</w:t>
            </w:r>
          </w:p>
          <w:p w:rsidR="00A841AD" w:rsidRPr="00FC2A8C" w:rsidRDefault="00A841AD" w:rsidP="00F57E3A">
            <w:pPr>
              <w:pStyle w:val="Caption"/>
              <w:rPr>
                <w:rFonts w:cs="Arial"/>
                <w:color w:val="000000" w:themeColor="text1"/>
                <w:szCs w:val="24"/>
              </w:rPr>
            </w:pPr>
          </w:p>
        </w:tc>
        <w:tc>
          <w:tcPr>
            <w:tcW w:w="1900" w:type="pct"/>
            <w:vAlign w:val="center"/>
          </w:tcPr>
          <w:p w:rsidR="00A841AD" w:rsidRPr="00DC27FA" w:rsidRDefault="00A841AD" w:rsidP="00F57E3A">
            <w:pPr>
              <w:pStyle w:val="Caption"/>
              <w:rPr>
                <w:rFonts w:cs="Arial"/>
                <w:szCs w:val="24"/>
              </w:rPr>
            </w:pPr>
            <w:r w:rsidRPr="00DC27FA">
              <w:rPr>
                <w:rFonts w:cs="Arial"/>
                <w:szCs w:val="24"/>
              </w:rPr>
              <w:t>Serão aceitos trabalhos exploratórios convertidos em Unidades de Trabalho (UTs),</w:t>
            </w:r>
          </w:p>
          <w:p w:rsidR="00A841AD" w:rsidRPr="00DC27FA" w:rsidRDefault="00A841AD" w:rsidP="00F57E3A">
            <w:pPr>
              <w:pStyle w:val="Caption"/>
              <w:rPr>
                <w:rFonts w:cs="Arial"/>
                <w:szCs w:val="24"/>
              </w:rPr>
            </w:pPr>
            <w:r w:rsidRPr="00DC27FA">
              <w:rPr>
                <w:rFonts w:cs="Arial"/>
                <w:szCs w:val="24"/>
              </w:rPr>
              <w:t>multiplicando-se, para tanto, os valores físicos realizados (unidade de poço exploratório, km de sísmica 2D, km² de sísmica 3D, km de reprocessamento sísmico 2D, km² de reprocessamento sísmico 3D, levantamentos magnetométricos, gravimétricos e gamaespectrométrico, assim como levantamentos geoquímicos e eletromagnéticos, e aquisição de batimetria multifeixe</w:t>
            </w:r>
            <w:r w:rsidR="00107C51">
              <w:rPr>
                <w:rFonts w:cs="Arial"/>
                <w:szCs w:val="24"/>
              </w:rPr>
              <w:t xml:space="preserve"> offshore</w:t>
            </w:r>
            <w:r w:rsidRPr="00DC27FA">
              <w:rPr>
                <w:rFonts w:cs="Arial"/>
                <w:szCs w:val="24"/>
              </w:rPr>
              <w:t>, pelos valores de suas respectivas equivalências. Os levantamentos não-exclusivos</w:t>
            </w:r>
            <w:r w:rsidR="00390D59">
              <w:rPr>
                <w:rFonts w:cs="Arial"/>
                <w:szCs w:val="24"/>
              </w:rPr>
              <w:t xml:space="preserve"> </w:t>
            </w:r>
            <w:r w:rsidRPr="00DC27FA">
              <w:rPr>
                <w:rFonts w:cs="Arial"/>
                <w:szCs w:val="24"/>
              </w:rPr>
              <w:t>autorizados pela ANP somente serão aceitos em conformidade com as condições detalhadas na Tabela 23. Serão aceitos, com o objetivo de abatimento de Unidades de</w:t>
            </w:r>
          </w:p>
          <w:p w:rsidR="00A841AD" w:rsidRPr="00DC27FA" w:rsidRDefault="00A841AD" w:rsidP="00F57E3A">
            <w:pPr>
              <w:pStyle w:val="Caption"/>
              <w:rPr>
                <w:rFonts w:cs="Arial"/>
                <w:szCs w:val="24"/>
              </w:rPr>
            </w:pPr>
            <w:r w:rsidRPr="00DC27FA">
              <w:rPr>
                <w:rFonts w:cs="Arial"/>
                <w:szCs w:val="24"/>
              </w:rPr>
              <w:t>Trabalho, os levantamentos que se encontrem limitados, exclusivamente, ao interior da</w:t>
            </w:r>
          </w:p>
          <w:p w:rsidR="00A841AD" w:rsidRPr="00DC27FA" w:rsidRDefault="00A841AD" w:rsidP="00F57E3A">
            <w:pPr>
              <w:pStyle w:val="Caption"/>
              <w:rPr>
                <w:rFonts w:cs="Arial"/>
                <w:szCs w:val="24"/>
              </w:rPr>
            </w:pPr>
            <w:r w:rsidRPr="00DC27FA">
              <w:rPr>
                <w:rFonts w:cs="Arial"/>
                <w:szCs w:val="24"/>
              </w:rPr>
              <w:t>área do bloco.</w:t>
            </w:r>
          </w:p>
        </w:tc>
        <w:tc>
          <w:tcPr>
            <w:tcW w:w="1412" w:type="pct"/>
            <w:vAlign w:val="center"/>
          </w:tcPr>
          <w:p w:rsidR="00A841AD" w:rsidRDefault="00A841AD" w:rsidP="00DF4FEE">
            <w:pPr>
              <w:pStyle w:val="Caption"/>
              <w:rPr>
                <w:rFonts w:cs="Arial"/>
                <w:color w:val="000000" w:themeColor="text1"/>
                <w:szCs w:val="24"/>
              </w:rPr>
            </w:pPr>
            <w:r>
              <w:rPr>
                <w:rFonts w:cs="Arial"/>
                <w:color w:val="000000" w:themeColor="text1"/>
                <w:szCs w:val="24"/>
              </w:rPr>
              <w:t>Vide justificativa para inclusão do item n) no Anexo XIV – Equivalência de Unidades de Trabalho</w:t>
            </w:r>
          </w:p>
          <w:p w:rsidR="00A841AD" w:rsidRPr="00573457" w:rsidRDefault="00A841AD" w:rsidP="00DF4FEE">
            <w:pPr>
              <w:pStyle w:val="Caption"/>
              <w:rPr>
                <w:rFonts w:cs="Arial"/>
                <w:color w:val="000000" w:themeColor="text1"/>
                <w:szCs w:val="24"/>
              </w:rPr>
            </w:pPr>
          </w:p>
        </w:tc>
      </w:tr>
    </w:tbl>
    <w:p w:rsidR="00764EB1" w:rsidRDefault="00764EB1" w:rsidP="004D421E">
      <w:pPr>
        <w:pStyle w:val="Caption"/>
        <w:spacing w:line="360" w:lineRule="auto"/>
        <w:jc w:val="both"/>
        <w:rPr>
          <w:rFonts w:cs="Arial"/>
          <w:szCs w:val="24"/>
          <w:u w:val="single"/>
        </w:rPr>
      </w:pPr>
    </w:p>
    <w:sectPr w:rsidR="00764EB1"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CF2" w:rsidRDefault="008C2CF2" w:rsidP="00842086">
      <w:r>
        <w:separator/>
      </w:r>
    </w:p>
  </w:endnote>
  <w:endnote w:type="continuationSeparator" w:id="0">
    <w:p w:rsidR="008C2CF2" w:rsidRDefault="008C2CF2"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25" w:rsidRDefault="00883495">
    <w:pPr>
      <w:pStyle w:val="Footer"/>
      <w:jc w:val="right"/>
    </w:pPr>
    <w:r>
      <w:fldChar w:fldCharType="begin"/>
    </w:r>
    <w:r>
      <w:instrText xml:space="preserve"> PAGE   \* MERGEFORMAT </w:instrText>
    </w:r>
    <w:r>
      <w:fldChar w:fldCharType="separate"/>
    </w:r>
    <w:r w:rsidR="00D97955">
      <w:rPr>
        <w:noProof/>
      </w:rPr>
      <w:t>4</w:t>
    </w:r>
    <w:r>
      <w:fldChar w:fldCharType="end"/>
    </w:r>
  </w:p>
  <w:p w:rsidR="005C4925" w:rsidRDefault="005C49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25" w:rsidRDefault="00883495">
    <w:pPr>
      <w:pStyle w:val="Footer"/>
      <w:jc w:val="right"/>
    </w:pPr>
    <w:r>
      <w:fldChar w:fldCharType="begin"/>
    </w:r>
    <w:r>
      <w:instrText xml:space="preserve"> PAGE   \* MERGEFORMAT </w:instrText>
    </w:r>
    <w:r>
      <w:fldChar w:fldCharType="separate"/>
    </w:r>
    <w:r w:rsidR="00D97955">
      <w:rPr>
        <w:noProof/>
      </w:rPr>
      <w:t>1</w:t>
    </w:r>
    <w:r>
      <w:fldChar w:fldCharType="end"/>
    </w:r>
  </w:p>
  <w:p w:rsidR="005C4925" w:rsidRDefault="005C49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CF2" w:rsidRDefault="008C2CF2" w:rsidP="00842086">
      <w:r>
        <w:separator/>
      </w:r>
    </w:p>
  </w:footnote>
  <w:footnote w:type="continuationSeparator" w:id="0">
    <w:p w:rsidR="008C2CF2" w:rsidRDefault="008C2CF2"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25" w:rsidRDefault="005C4925" w:rsidP="00842086">
    <w:pPr>
      <w:pStyle w:val="Header"/>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189"/>
      <w:gridCol w:w="6098"/>
    </w:tblGrid>
    <w:tr w:rsidR="003967EB"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3967EB" w:rsidRPr="0036380F" w:rsidRDefault="00A51516" w:rsidP="003967EB">
          <w:pPr>
            <w:pStyle w:val="Header"/>
            <w:spacing w:before="240" w:after="240"/>
            <w:rPr>
              <w:rFonts w:ascii="Arial" w:hAnsi="Arial" w:cs="Arial"/>
              <w:sz w:val="24"/>
              <w:szCs w:val="24"/>
            </w:rPr>
          </w:pPr>
          <w:r w:rsidRPr="00A51516">
            <w:rPr>
              <w:rFonts w:ascii="Arial" w:hAnsi="Arial" w:cs="Arial"/>
              <w:noProof/>
              <w:sz w:val="24"/>
              <w:szCs w:val="24"/>
            </w:rPr>
            <w:drawing>
              <wp:inline distT="0" distB="0" distL="0" distR="0">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000C0815" w:rsidRPr="000C0815">
            <w:rPr>
              <w:rFonts w:ascii="Arial" w:hAnsi="Arial" w:cs="Arial"/>
              <w:noProof/>
              <w:sz w:val="24"/>
              <w:szCs w:val="24"/>
            </w:rPr>
            <w:drawing>
              <wp:inline distT="0" distB="0" distL="0" distR="0">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3967EB" w:rsidRPr="00B27481" w:rsidRDefault="003967EB" w:rsidP="00B27481">
          <w:pPr>
            <w:pStyle w:val="Header"/>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00F34DFC">
            <w:rPr>
              <w:rFonts w:ascii="Arial" w:hAnsi="Arial" w:cs="Arial"/>
              <w:b/>
              <w:sz w:val="28"/>
              <w:szCs w:val="28"/>
            </w:rPr>
            <w:t>09</w:t>
          </w:r>
          <w:r w:rsidRPr="00B27481">
            <w:rPr>
              <w:rFonts w:ascii="Arial" w:hAnsi="Arial" w:cs="Arial"/>
              <w:b/>
              <w:sz w:val="28"/>
              <w:szCs w:val="28"/>
            </w:rPr>
            <w:t>/201</w:t>
          </w:r>
          <w:r w:rsidR="002A1E27">
            <w:rPr>
              <w:rFonts w:ascii="Arial" w:hAnsi="Arial" w:cs="Arial"/>
              <w:b/>
              <w:sz w:val="28"/>
              <w:szCs w:val="28"/>
            </w:rPr>
            <w:t>7</w:t>
          </w:r>
        </w:p>
        <w:p w:rsidR="003967EB" w:rsidRPr="00B27481" w:rsidRDefault="003967EB" w:rsidP="00B27481">
          <w:pPr>
            <w:pStyle w:val="Header"/>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5C4925" w:rsidRDefault="005C49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086"/>
    <w:rsid w:val="00006A74"/>
    <w:rsid w:val="0003603F"/>
    <w:rsid w:val="00095D0E"/>
    <w:rsid w:val="000C0815"/>
    <w:rsid w:val="000C0894"/>
    <w:rsid w:val="000C7F3F"/>
    <w:rsid w:val="000E6393"/>
    <w:rsid w:val="00103946"/>
    <w:rsid w:val="00107C51"/>
    <w:rsid w:val="00135526"/>
    <w:rsid w:val="00193747"/>
    <w:rsid w:val="001965B6"/>
    <w:rsid w:val="001B0976"/>
    <w:rsid w:val="002158EA"/>
    <w:rsid w:val="0022423B"/>
    <w:rsid w:val="00256685"/>
    <w:rsid w:val="00264138"/>
    <w:rsid w:val="002A1E27"/>
    <w:rsid w:val="002C0A89"/>
    <w:rsid w:val="002E7446"/>
    <w:rsid w:val="00300B92"/>
    <w:rsid w:val="00314BDB"/>
    <w:rsid w:val="00327F69"/>
    <w:rsid w:val="0036380F"/>
    <w:rsid w:val="00366BF4"/>
    <w:rsid w:val="00390D59"/>
    <w:rsid w:val="003967EB"/>
    <w:rsid w:val="003B7B4E"/>
    <w:rsid w:val="003D5BFF"/>
    <w:rsid w:val="003D6CBE"/>
    <w:rsid w:val="0040140A"/>
    <w:rsid w:val="00412AA7"/>
    <w:rsid w:val="00471ADB"/>
    <w:rsid w:val="004A005A"/>
    <w:rsid w:val="004B7788"/>
    <w:rsid w:val="004C0021"/>
    <w:rsid w:val="004D421E"/>
    <w:rsid w:val="004F050F"/>
    <w:rsid w:val="0053384B"/>
    <w:rsid w:val="005600AD"/>
    <w:rsid w:val="0056683F"/>
    <w:rsid w:val="00573457"/>
    <w:rsid w:val="005B3CEF"/>
    <w:rsid w:val="005B7D75"/>
    <w:rsid w:val="005C4925"/>
    <w:rsid w:val="005C5B4E"/>
    <w:rsid w:val="005D7856"/>
    <w:rsid w:val="005E0888"/>
    <w:rsid w:val="00605710"/>
    <w:rsid w:val="00615A71"/>
    <w:rsid w:val="006166F5"/>
    <w:rsid w:val="0062557C"/>
    <w:rsid w:val="00675939"/>
    <w:rsid w:val="006E3142"/>
    <w:rsid w:val="006E7756"/>
    <w:rsid w:val="006F3664"/>
    <w:rsid w:val="007178AA"/>
    <w:rsid w:val="0072285E"/>
    <w:rsid w:val="00764EB1"/>
    <w:rsid w:val="007662D7"/>
    <w:rsid w:val="007C2A2E"/>
    <w:rsid w:val="007E2560"/>
    <w:rsid w:val="007F7936"/>
    <w:rsid w:val="0083277E"/>
    <w:rsid w:val="00842086"/>
    <w:rsid w:val="008500E0"/>
    <w:rsid w:val="00854EE5"/>
    <w:rsid w:val="00864BAE"/>
    <w:rsid w:val="008675C5"/>
    <w:rsid w:val="00883495"/>
    <w:rsid w:val="008A590E"/>
    <w:rsid w:val="008C2CF2"/>
    <w:rsid w:val="008E7D7F"/>
    <w:rsid w:val="00913328"/>
    <w:rsid w:val="0092578B"/>
    <w:rsid w:val="009271A8"/>
    <w:rsid w:val="00932C2C"/>
    <w:rsid w:val="009403DB"/>
    <w:rsid w:val="0099566E"/>
    <w:rsid w:val="00A31721"/>
    <w:rsid w:val="00A51516"/>
    <w:rsid w:val="00A621DA"/>
    <w:rsid w:val="00A841AD"/>
    <w:rsid w:val="00A91CC2"/>
    <w:rsid w:val="00AC3176"/>
    <w:rsid w:val="00AC75F7"/>
    <w:rsid w:val="00AC7BE3"/>
    <w:rsid w:val="00AE02B1"/>
    <w:rsid w:val="00B13EFD"/>
    <w:rsid w:val="00B25C8F"/>
    <w:rsid w:val="00B27481"/>
    <w:rsid w:val="00B40F4C"/>
    <w:rsid w:val="00B43186"/>
    <w:rsid w:val="00BA4C9C"/>
    <w:rsid w:val="00BC1BBC"/>
    <w:rsid w:val="00BE0221"/>
    <w:rsid w:val="00C102D5"/>
    <w:rsid w:val="00C44A37"/>
    <w:rsid w:val="00C57F32"/>
    <w:rsid w:val="00C85228"/>
    <w:rsid w:val="00C855A3"/>
    <w:rsid w:val="00CA289A"/>
    <w:rsid w:val="00CF02E6"/>
    <w:rsid w:val="00CF2944"/>
    <w:rsid w:val="00D97955"/>
    <w:rsid w:val="00DC27FA"/>
    <w:rsid w:val="00E05AB8"/>
    <w:rsid w:val="00E418D5"/>
    <w:rsid w:val="00E548B4"/>
    <w:rsid w:val="00E91A45"/>
    <w:rsid w:val="00EA1DC4"/>
    <w:rsid w:val="00EC52D8"/>
    <w:rsid w:val="00ED28BC"/>
    <w:rsid w:val="00EF4AFC"/>
    <w:rsid w:val="00F10801"/>
    <w:rsid w:val="00F34DFC"/>
    <w:rsid w:val="00F503A5"/>
    <w:rsid w:val="00F57E3A"/>
    <w:rsid w:val="00F63177"/>
    <w:rsid w:val="00F637D7"/>
    <w:rsid w:val="00F848B5"/>
    <w:rsid w:val="00FA7129"/>
    <w:rsid w:val="00FB378C"/>
    <w:rsid w:val="00FC2A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2086"/>
    <w:pPr>
      <w:jc w:val="left"/>
    </w:pPr>
    <w:rPr>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842086"/>
    <w:rPr>
      <w:rFonts w:ascii="Arial" w:hAnsi="Arial"/>
      <w:sz w:val="24"/>
    </w:rPr>
  </w:style>
  <w:style w:type="table" w:styleId="TableGrid">
    <w:name w:val="Table Grid"/>
    <w:basedOn w:val="Table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2086"/>
    <w:pPr>
      <w:tabs>
        <w:tab w:val="center" w:pos="4252"/>
        <w:tab w:val="right" w:pos="8504"/>
      </w:tabs>
    </w:pPr>
  </w:style>
  <w:style w:type="character" w:customStyle="1" w:styleId="HeaderChar">
    <w:name w:val="Header Char"/>
    <w:basedOn w:val="DefaultParagraphFont"/>
    <w:link w:val="Header"/>
    <w:uiPriority w:val="99"/>
    <w:locked/>
    <w:rsid w:val="00842086"/>
    <w:rPr>
      <w:rFonts w:eastAsia="Times New Roman" w:cs="Times New Roman"/>
      <w:sz w:val="20"/>
      <w:szCs w:val="20"/>
      <w:lang w:val="x-none" w:eastAsia="pt-BR"/>
    </w:rPr>
  </w:style>
  <w:style w:type="paragraph" w:styleId="Footer">
    <w:name w:val="footer"/>
    <w:basedOn w:val="Normal"/>
    <w:link w:val="FooterChar"/>
    <w:uiPriority w:val="99"/>
    <w:unhideWhenUsed/>
    <w:rsid w:val="00842086"/>
    <w:pPr>
      <w:tabs>
        <w:tab w:val="center" w:pos="4252"/>
        <w:tab w:val="right" w:pos="8504"/>
      </w:tabs>
    </w:pPr>
  </w:style>
  <w:style w:type="character" w:customStyle="1" w:styleId="FooterChar">
    <w:name w:val="Footer Char"/>
    <w:basedOn w:val="DefaultParagraphFont"/>
    <w:link w:val="Footer"/>
    <w:uiPriority w:val="99"/>
    <w:locked/>
    <w:rsid w:val="00842086"/>
    <w:rPr>
      <w:rFonts w:eastAsia="Times New Roman" w:cs="Times New Roman"/>
      <w:sz w:val="20"/>
      <w:szCs w:val="20"/>
      <w:lang w:val="x-none" w:eastAsia="pt-BR"/>
    </w:rPr>
  </w:style>
  <w:style w:type="paragraph" w:styleId="BalloonText">
    <w:name w:val="Balloon Text"/>
    <w:basedOn w:val="Normal"/>
    <w:link w:val="BalloonTextChar"/>
    <w:uiPriority w:val="99"/>
    <w:semiHidden/>
    <w:unhideWhenUsed/>
    <w:rsid w:val="008420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86"/>
    <w:rPr>
      <w:rFonts w:ascii="Tahoma" w:hAnsi="Tahoma" w:cs="Tahoma"/>
      <w:sz w:val="16"/>
      <w:szCs w:val="16"/>
      <w:lang w:val="x-none" w:eastAsia="pt-BR"/>
    </w:rPr>
  </w:style>
  <w:style w:type="character" w:styleId="PlaceholderText">
    <w:name w:val="Placeholder Text"/>
    <w:basedOn w:val="DefaultParagraphFont"/>
    <w:uiPriority w:val="99"/>
    <w:semiHidden/>
    <w:rsid w:val="00A91CC2"/>
    <w:rPr>
      <w:rFonts w:cs="Times New Roman"/>
      <w:color w:val="808080"/>
    </w:rPr>
  </w:style>
  <w:style w:type="paragraph" w:styleId="FootnoteText">
    <w:name w:val="footnote text"/>
    <w:basedOn w:val="Normal"/>
    <w:link w:val="FootnoteTextChar"/>
    <w:uiPriority w:val="99"/>
    <w:semiHidden/>
    <w:unhideWhenUsed/>
    <w:rsid w:val="0040140A"/>
  </w:style>
  <w:style w:type="character" w:customStyle="1" w:styleId="FootnoteTextChar">
    <w:name w:val="Footnote Text Char"/>
    <w:basedOn w:val="DefaultParagraphFont"/>
    <w:link w:val="FootnoteText"/>
    <w:uiPriority w:val="99"/>
    <w:semiHidden/>
    <w:locked/>
    <w:rsid w:val="0040140A"/>
    <w:rPr>
      <w:rFonts w:eastAsia="Times New Roman" w:cs="Times New Roman"/>
      <w:sz w:val="20"/>
      <w:szCs w:val="20"/>
      <w:lang w:val="x-none" w:eastAsia="pt-BR"/>
    </w:rPr>
  </w:style>
  <w:style w:type="character" w:styleId="FootnoteReference">
    <w:name w:val="footnote reference"/>
    <w:basedOn w:val="DefaultParagraphFont"/>
    <w:uiPriority w:val="99"/>
    <w:semiHidden/>
    <w:unhideWhenUsed/>
    <w:rsid w:val="0040140A"/>
    <w:rPr>
      <w:rFonts w:cs="Times New Roman"/>
      <w:vertAlign w:val="superscript"/>
    </w:rPr>
  </w:style>
  <w:style w:type="paragraph" w:styleId="ListParagraph">
    <w:name w:val="List Paragraph"/>
    <w:basedOn w:val="Normal"/>
    <w:uiPriority w:val="34"/>
    <w:qFormat/>
    <w:rsid w:val="0036380F"/>
    <w:pPr>
      <w:ind w:left="720"/>
      <w:contextualSpacing/>
    </w:pPr>
  </w:style>
  <w:style w:type="character" w:styleId="Hyperlink">
    <w:name w:val="Hyperlink"/>
    <w:basedOn w:val="DefaultParagraphFont"/>
    <w:uiPriority w:val="99"/>
    <w:unhideWhenUsed/>
    <w:rsid w:val="00932C2C"/>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2086"/>
    <w:pPr>
      <w:jc w:val="left"/>
    </w:pPr>
    <w:rPr>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842086"/>
    <w:rPr>
      <w:rFonts w:ascii="Arial" w:hAnsi="Arial"/>
      <w:sz w:val="24"/>
    </w:rPr>
  </w:style>
  <w:style w:type="table" w:styleId="TableGrid">
    <w:name w:val="Table Grid"/>
    <w:basedOn w:val="Table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2086"/>
    <w:pPr>
      <w:tabs>
        <w:tab w:val="center" w:pos="4252"/>
        <w:tab w:val="right" w:pos="8504"/>
      </w:tabs>
    </w:pPr>
  </w:style>
  <w:style w:type="character" w:customStyle="1" w:styleId="HeaderChar">
    <w:name w:val="Header Char"/>
    <w:basedOn w:val="DefaultParagraphFont"/>
    <w:link w:val="Header"/>
    <w:uiPriority w:val="99"/>
    <w:locked/>
    <w:rsid w:val="00842086"/>
    <w:rPr>
      <w:rFonts w:eastAsia="Times New Roman" w:cs="Times New Roman"/>
      <w:sz w:val="20"/>
      <w:szCs w:val="20"/>
      <w:lang w:val="x-none" w:eastAsia="pt-BR"/>
    </w:rPr>
  </w:style>
  <w:style w:type="paragraph" w:styleId="Footer">
    <w:name w:val="footer"/>
    <w:basedOn w:val="Normal"/>
    <w:link w:val="FooterChar"/>
    <w:uiPriority w:val="99"/>
    <w:unhideWhenUsed/>
    <w:rsid w:val="00842086"/>
    <w:pPr>
      <w:tabs>
        <w:tab w:val="center" w:pos="4252"/>
        <w:tab w:val="right" w:pos="8504"/>
      </w:tabs>
    </w:pPr>
  </w:style>
  <w:style w:type="character" w:customStyle="1" w:styleId="FooterChar">
    <w:name w:val="Footer Char"/>
    <w:basedOn w:val="DefaultParagraphFont"/>
    <w:link w:val="Footer"/>
    <w:uiPriority w:val="99"/>
    <w:locked/>
    <w:rsid w:val="00842086"/>
    <w:rPr>
      <w:rFonts w:eastAsia="Times New Roman" w:cs="Times New Roman"/>
      <w:sz w:val="20"/>
      <w:szCs w:val="20"/>
      <w:lang w:val="x-none" w:eastAsia="pt-BR"/>
    </w:rPr>
  </w:style>
  <w:style w:type="paragraph" w:styleId="BalloonText">
    <w:name w:val="Balloon Text"/>
    <w:basedOn w:val="Normal"/>
    <w:link w:val="BalloonTextChar"/>
    <w:uiPriority w:val="99"/>
    <w:semiHidden/>
    <w:unhideWhenUsed/>
    <w:rsid w:val="008420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86"/>
    <w:rPr>
      <w:rFonts w:ascii="Tahoma" w:hAnsi="Tahoma" w:cs="Tahoma"/>
      <w:sz w:val="16"/>
      <w:szCs w:val="16"/>
      <w:lang w:val="x-none" w:eastAsia="pt-BR"/>
    </w:rPr>
  </w:style>
  <w:style w:type="character" w:styleId="PlaceholderText">
    <w:name w:val="Placeholder Text"/>
    <w:basedOn w:val="DefaultParagraphFont"/>
    <w:uiPriority w:val="99"/>
    <w:semiHidden/>
    <w:rsid w:val="00A91CC2"/>
    <w:rPr>
      <w:rFonts w:cs="Times New Roman"/>
      <w:color w:val="808080"/>
    </w:rPr>
  </w:style>
  <w:style w:type="paragraph" w:styleId="FootnoteText">
    <w:name w:val="footnote text"/>
    <w:basedOn w:val="Normal"/>
    <w:link w:val="FootnoteTextChar"/>
    <w:uiPriority w:val="99"/>
    <w:semiHidden/>
    <w:unhideWhenUsed/>
    <w:rsid w:val="0040140A"/>
  </w:style>
  <w:style w:type="character" w:customStyle="1" w:styleId="FootnoteTextChar">
    <w:name w:val="Footnote Text Char"/>
    <w:basedOn w:val="DefaultParagraphFont"/>
    <w:link w:val="FootnoteText"/>
    <w:uiPriority w:val="99"/>
    <w:semiHidden/>
    <w:locked/>
    <w:rsid w:val="0040140A"/>
    <w:rPr>
      <w:rFonts w:eastAsia="Times New Roman" w:cs="Times New Roman"/>
      <w:sz w:val="20"/>
      <w:szCs w:val="20"/>
      <w:lang w:val="x-none" w:eastAsia="pt-BR"/>
    </w:rPr>
  </w:style>
  <w:style w:type="character" w:styleId="FootnoteReference">
    <w:name w:val="footnote reference"/>
    <w:basedOn w:val="DefaultParagraphFont"/>
    <w:uiPriority w:val="99"/>
    <w:semiHidden/>
    <w:unhideWhenUsed/>
    <w:rsid w:val="0040140A"/>
    <w:rPr>
      <w:rFonts w:cs="Times New Roman"/>
      <w:vertAlign w:val="superscript"/>
    </w:rPr>
  </w:style>
  <w:style w:type="paragraph" w:styleId="ListParagraph">
    <w:name w:val="List Paragraph"/>
    <w:basedOn w:val="Normal"/>
    <w:uiPriority w:val="34"/>
    <w:qFormat/>
    <w:rsid w:val="0036380F"/>
    <w:pPr>
      <w:ind w:left="720"/>
      <w:contextualSpacing/>
    </w:pPr>
  </w:style>
  <w:style w:type="character" w:styleId="Hyperlink">
    <w:name w:val="Hyperlink"/>
    <w:basedOn w:val="DefaultParagraphFont"/>
    <w:uiPriority w:val="99"/>
    <w:unhideWhenUsed/>
    <w:rsid w:val="00932C2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5C9F5-9C80-4410-9E27-2698F0A20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4</Pages>
  <Words>796</Words>
  <Characters>4301</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ANP</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Peçanha</dc:creator>
  <cp:lastModifiedBy>Baraldi, Diego </cp:lastModifiedBy>
  <cp:revision>8</cp:revision>
  <cp:lastPrinted>2013-01-24T15:49:00Z</cp:lastPrinted>
  <dcterms:created xsi:type="dcterms:W3CDTF">2017-06-13T19:10:00Z</dcterms:created>
  <dcterms:modified xsi:type="dcterms:W3CDTF">2017-06-14T19:56:00Z</dcterms:modified>
</cp:coreProperties>
</file>